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FDED" w14:textId="4F3947A0" w:rsidR="00C56E91" w:rsidRDefault="00433309" w:rsidP="007E587C">
      <w:pPr>
        <w:spacing w:after="0" w:line="240" w:lineRule="auto"/>
      </w:pPr>
      <w:r>
        <w:rPr>
          <w:noProof/>
        </w:rPr>
        <w:drawing>
          <wp:anchor distT="0" distB="0" distL="114300" distR="114300" simplePos="0" relativeHeight="251658240" behindDoc="0" locked="0" layoutInCell="1" allowOverlap="1" wp14:anchorId="2B48435F" wp14:editId="05EB6252">
            <wp:simplePos x="0" y="0"/>
            <wp:positionH relativeFrom="margin">
              <wp:posOffset>66675</wp:posOffset>
            </wp:positionH>
            <wp:positionV relativeFrom="margin">
              <wp:posOffset>-571500</wp:posOffset>
            </wp:positionV>
            <wp:extent cx="6309360" cy="655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9360" cy="655955"/>
                    </a:xfrm>
                    <a:prstGeom prst="rect">
                      <a:avLst/>
                    </a:prstGeom>
                  </pic:spPr>
                </pic:pic>
              </a:graphicData>
            </a:graphic>
            <wp14:sizeRelH relativeFrom="page">
              <wp14:pctWidth>0</wp14:pctWidth>
            </wp14:sizeRelH>
            <wp14:sizeRelV relativeFrom="page">
              <wp14:pctHeight>0</wp14:pctHeight>
            </wp14:sizeRelV>
          </wp:anchor>
        </w:drawing>
      </w:r>
    </w:p>
    <w:p w14:paraId="7B7BF02B" w14:textId="77777777" w:rsidR="007E587C" w:rsidRPr="007E587C" w:rsidRDefault="007E587C" w:rsidP="007E587C">
      <w:pPr>
        <w:spacing w:after="0" w:line="240" w:lineRule="auto"/>
        <w:rPr>
          <w:rFonts w:ascii="Arial" w:hAnsi="Arial" w:cs="Arial"/>
          <w:b/>
          <w:sz w:val="24"/>
          <w:szCs w:val="24"/>
        </w:rPr>
      </w:pPr>
    </w:p>
    <w:p w14:paraId="434F6309" w14:textId="34A69AD9" w:rsidR="00C56E91" w:rsidRPr="002B6DF9" w:rsidRDefault="00C56E91" w:rsidP="008F0413">
      <w:pPr>
        <w:spacing w:after="0" w:line="240" w:lineRule="auto"/>
        <w:jc w:val="center"/>
        <w:rPr>
          <w:rFonts w:cs="Arial"/>
          <w:b/>
          <w:sz w:val="24"/>
          <w:szCs w:val="24"/>
        </w:rPr>
      </w:pPr>
      <w:r w:rsidRPr="002B6DF9">
        <w:rPr>
          <w:rFonts w:cs="Arial"/>
          <w:b/>
          <w:sz w:val="24"/>
          <w:szCs w:val="24"/>
        </w:rPr>
        <w:t>M19-</w:t>
      </w:r>
      <w:r w:rsidR="008F0413" w:rsidRPr="002B6DF9">
        <w:rPr>
          <w:rFonts w:cs="Arial"/>
          <w:b/>
          <w:sz w:val="24"/>
          <w:szCs w:val="24"/>
        </w:rPr>
        <w:t>55</w:t>
      </w:r>
      <w:r w:rsidR="00EC0EDD">
        <w:rPr>
          <w:rFonts w:cs="Arial"/>
          <w:b/>
          <w:sz w:val="24"/>
          <w:szCs w:val="24"/>
        </w:rPr>
        <w:t>9</w:t>
      </w:r>
      <w:r w:rsidRPr="002B6DF9">
        <w:rPr>
          <w:rFonts w:cs="Arial"/>
          <w:b/>
          <w:sz w:val="24"/>
          <w:szCs w:val="24"/>
        </w:rPr>
        <w:t xml:space="preserve"> </w:t>
      </w:r>
      <w:r w:rsidR="00EC0EDD">
        <w:rPr>
          <w:rFonts w:cs="Arial"/>
          <w:b/>
          <w:sz w:val="24"/>
          <w:szCs w:val="24"/>
        </w:rPr>
        <w:t>Dissemination and Implementation Science</w:t>
      </w:r>
      <w:r w:rsidR="00086933" w:rsidRPr="002B6DF9">
        <w:rPr>
          <w:rFonts w:cs="Arial"/>
          <w:b/>
          <w:sz w:val="24"/>
          <w:szCs w:val="24"/>
        </w:rPr>
        <w:t xml:space="preserve"> (</w:t>
      </w:r>
      <w:r w:rsidR="00EC0EDD">
        <w:rPr>
          <w:rFonts w:cs="Arial"/>
          <w:b/>
          <w:sz w:val="24"/>
          <w:szCs w:val="24"/>
        </w:rPr>
        <w:t>3</w:t>
      </w:r>
      <w:r w:rsidR="00086933" w:rsidRPr="002B6DF9">
        <w:rPr>
          <w:rFonts w:cs="Arial"/>
          <w:b/>
          <w:sz w:val="24"/>
          <w:szCs w:val="24"/>
        </w:rPr>
        <w:t xml:space="preserve"> credit</w:t>
      </w:r>
      <w:r w:rsidR="00EC0EDD">
        <w:rPr>
          <w:rFonts w:cs="Arial"/>
          <w:b/>
          <w:sz w:val="24"/>
          <w:szCs w:val="24"/>
        </w:rPr>
        <w:t>s</w:t>
      </w:r>
      <w:r w:rsidR="00086933" w:rsidRPr="002B6DF9">
        <w:rPr>
          <w:rFonts w:cs="Arial"/>
          <w:b/>
          <w:sz w:val="24"/>
          <w:szCs w:val="24"/>
        </w:rPr>
        <w:t>)</w:t>
      </w:r>
    </w:p>
    <w:p w14:paraId="4ED45D74" w14:textId="355D9D2F" w:rsidR="007E587C" w:rsidRPr="002B6DF9" w:rsidRDefault="007E587C" w:rsidP="008F0413">
      <w:pPr>
        <w:spacing w:after="0" w:line="240" w:lineRule="auto"/>
        <w:jc w:val="center"/>
        <w:rPr>
          <w:rFonts w:cs="Arial"/>
        </w:rPr>
      </w:pPr>
      <w:r w:rsidRPr="002B6DF9">
        <w:rPr>
          <w:rFonts w:cs="Arial"/>
        </w:rPr>
        <w:t>Spring 20</w:t>
      </w:r>
      <w:r w:rsidR="00EC0EDD">
        <w:rPr>
          <w:rFonts w:cs="Arial"/>
        </w:rPr>
        <w:t>20</w:t>
      </w:r>
      <w:r w:rsidRPr="002B6DF9">
        <w:rPr>
          <w:rFonts w:cs="Arial"/>
        </w:rPr>
        <w:t xml:space="preserve"> (01/</w:t>
      </w:r>
      <w:r w:rsidR="00EC0EDD">
        <w:rPr>
          <w:rFonts w:cs="Arial"/>
        </w:rPr>
        <w:t>13</w:t>
      </w:r>
      <w:r w:rsidRPr="002B6DF9">
        <w:rPr>
          <w:rFonts w:cs="Arial"/>
        </w:rPr>
        <w:t>/</w:t>
      </w:r>
      <w:r w:rsidR="00EC0EDD">
        <w:rPr>
          <w:rFonts w:cs="Arial"/>
        </w:rPr>
        <w:t>20</w:t>
      </w:r>
      <w:r w:rsidRPr="002B6DF9">
        <w:rPr>
          <w:rFonts w:cs="Arial"/>
        </w:rPr>
        <w:t xml:space="preserve"> – </w:t>
      </w:r>
      <w:r w:rsidR="00EC0EDD">
        <w:rPr>
          <w:rFonts w:cs="Arial"/>
        </w:rPr>
        <w:t>5</w:t>
      </w:r>
      <w:r w:rsidRPr="002B6DF9">
        <w:rPr>
          <w:rFonts w:cs="Arial"/>
        </w:rPr>
        <w:t>/1/</w:t>
      </w:r>
      <w:r w:rsidR="00EC0EDD">
        <w:rPr>
          <w:rFonts w:cs="Arial"/>
        </w:rPr>
        <w:t>20</w:t>
      </w:r>
      <w:r w:rsidRPr="002B6DF9">
        <w:rPr>
          <w:rFonts w:cs="Arial"/>
        </w:rPr>
        <w:t>)</w:t>
      </w:r>
    </w:p>
    <w:p w14:paraId="57971E58" w14:textId="04381DF8" w:rsidR="00C56E91" w:rsidRPr="002B6DF9" w:rsidRDefault="00CC2DDB" w:rsidP="00C56E91">
      <w:pPr>
        <w:spacing w:after="0" w:line="240" w:lineRule="auto"/>
        <w:jc w:val="center"/>
        <w:rPr>
          <w:rFonts w:cs="Arial"/>
        </w:rPr>
      </w:pPr>
      <w:r>
        <w:rPr>
          <w:rFonts w:cs="Arial"/>
        </w:rPr>
        <w:t>Wed</w:t>
      </w:r>
      <w:r w:rsidR="00C56E91" w:rsidRPr="002B6DF9">
        <w:rPr>
          <w:rFonts w:cs="Arial"/>
        </w:rPr>
        <w:t>n</w:t>
      </w:r>
      <w:r>
        <w:rPr>
          <w:rFonts w:cs="Arial"/>
        </w:rPr>
        <w:t>es</w:t>
      </w:r>
      <w:r w:rsidR="00C56E91" w:rsidRPr="002B6DF9">
        <w:rPr>
          <w:rFonts w:cs="Arial"/>
        </w:rPr>
        <w:t xml:space="preserve">days, 1 to </w:t>
      </w:r>
      <w:r>
        <w:rPr>
          <w:rFonts w:cs="Arial"/>
        </w:rPr>
        <w:t>4</w:t>
      </w:r>
      <w:r w:rsidR="00C56E91" w:rsidRPr="002B6DF9">
        <w:rPr>
          <w:rFonts w:cs="Arial"/>
        </w:rPr>
        <w:t xml:space="preserve"> pm </w:t>
      </w:r>
    </w:p>
    <w:p w14:paraId="5B73FA26" w14:textId="77777777" w:rsidR="00C56E91" w:rsidRPr="002B6DF9" w:rsidRDefault="00C56E91" w:rsidP="00C56E91">
      <w:pPr>
        <w:spacing w:after="0" w:line="240" w:lineRule="auto"/>
        <w:jc w:val="center"/>
        <w:rPr>
          <w:rFonts w:cs="Arial"/>
        </w:rPr>
      </w:pPr>
      <w:r w:rsidRPr="002B6DF9">
        <w:rPr>
          <w:rFonts w:cs="Arial"/>
        </w:rPr>
        <w:t xml:space="preserve">Location: Taylor Avenue Building </w:t>
      </w:r>
    </w:p>
    <w:p w14:paraId="338E33C2" w14:textId="0B505807" w:rsidR="00C56E91" w:rsidRPr="002B6DF9" w:rsidRDefault="00C56E91" w:rsidP="00C56E91">
      <w:pPr>
        <w:spacing w:after="0" w:line="240" w:lineRule="auto"/>
        <w:jc w:val="center"/>
        <w:rPr>
          <w:rFonts w:cs="Arial"/>
        </w:rPr>
      </w:pPr>
      <w:r w:rsidRPr="002B6DF9">
        <w:rPr>
          <w:rFonts w:cs="Arial"/>
        </w:rPr>
        <w:t>2nd floor, Richmond Room</w:t>
      </w:r>
    </w:p>
    <w:p w14:paraId="66CA569B" w14:textId="77777777" w:rsidR="00DA438C" w:rsidRPr="002B6DF9" w:rsidRDefault="00DA438C" w:rsidP="00A40920">
      <w:pPr>
        <w:spacing w:after="0" w:line="240" w:lineRule="auto"/>
        <w:jc w:val="center"/>
        <w:rPr>
          <w:rFonts w:cs="Arial"/>
          <w:b/>
        </w:rPr>
      </w:pPr>
    </w:p>
    <w:p w14:paraId="4C4A2FAB" w14:textId="77777777" w:rsidR="00F82AF0" w:rsidRPr="002B6DF9" w:rsidRDefault="00F82AF0" w:rsidP="00F82AF0">
      <w:pPr>
        <w:spacing w:after="0" w:line="240" w:lineRule="auto"/>
        <w:rPr>
          <w:rFonts w:cs="Arial"/>
          <w:u w:val="single"/>
        </w:rPr>
      </w:pPr>
    </w:p>
    <w:p w14:paraId="288E5D34" w14:textId="77777777" w:rsidR="00086933" w:rsidRPr="002B6DF9" w:rsidRDefault="00086933" w:rsidP="00F82AF0">
      <w:pPr>
        <w:spacing w:after="0" w:line="240" w:lineRule="auto"/>
        <w:rPr>
          <w:rFonts w:cs="Arial"/>
          <w:u w:val="single"/>
        </w:rPr>
      </w:pPr>
    </w:p>
    <w:p w14:paraId="75043F92" w14:textId="5FDE4D28" w:rsidR="00F82AF0" w:rsidRPr="002B6DF9" w:rsidRDefault="00F82AF0" w:rsidP="00464C6B">
      <w:pPr>
        <w:spacing w:after="0" w:line="240" w:lineRule="auto"/>
        <w:rPr>
          <w:rFonts w:cs="Arial"/>
          <w:u w:val="single"/>
        </w:rPr>
      </w:pPr>
      <w:r w:rsidRPr="002B6DF9">
        <w:rPr>
          <w:rFonts w:cs="Arial"/>
          <w:b/>
          <w:u w:val="single"/>
        </w:rPr>
        <w:t>I</w:t>
      </w:r>
      <w:r w:rsidR="00086933" w:rsidRPr="002B6DF9">
        <w:rPr>
          <w:rFonts w:cs="Arial"/>
          <w:b/>
          <w:u w:val="single"/>
        </w:rPr>
        <w:t>NSTRUCT</w:t>
      </w:r>
      <w:r w:rsidR="007E587C" w:rsidRPr="002B6DF9">
        <w:rPr>
          <w:rFonts w:cs="Arial"/>
          <w:b/>
          <w:u w:val="single"/>
        </w:rPr>
        <w:t>ORS</w:t>
      </w:r>
    </w:p>
    <w:p w14:paraId="3F07A85E" w14:textId="447B1011" w:rsidR="00F82AF0" w:rsidRDefault="0032497E" w:rsidP="00464C6B">
      <w:pPr>
        <w:spacing w:after="0" w:line="240" w:lineRule="auto"/>
        <w:rPr>
          <w:rFonts w:cs="Arial"/>
        </w:rPr>
      </w:pPr>
      <w:r w:rsidRPr="00F32131">
        <w:rPr>
          <w:rFonts w:cs="Arial"/>
        </w:rPr>
        <w:t>Rachel Tabak, PhD, RD</w:t>
      </w:r>
    </w:p>
    <w:p w14:paraId="402442C1" w14:textId="4A21B324" w:rsidR="00313A5E" w:rsidRPr="00F32131" w:rsidRDefault="00313A5E" w:rsidP="00464C6B">
      <w:pPr>
        <w:spacing w:after="0" w:line="240" w:lineRule="auto"/>
        <w:rPr>
          <w:rFonts w:cs="Arial"/>
        </w:rPr>
      </w:pPr>
      <w:r>
        <w:rPr>
          <w:rFonts w:cs="Arial"/>
        </w:rPr>
        <w:t>TA: TBD</w:t>
      </w:r>
    </w:p>
    <w:p w14:paraId="0FF0839C" w14:textId="77777777" w:rsidR="007E587C" w:rsidRPr="002B6DF9" w:rsidRDefault="007E587C" w:rsidP="00464C6B">
      <w:pPr>
        <w:spacing w:after="0" w:line="240" w:lineRule="auto"/>
        <w:rPr>
          <w:rFonts w:cs="Arial"/>
          <w:b/>
          <w:u w:val="single"/>
        </w:rPr>
      </w:pPr>
    </w:p>
    <w:p w14:paraId="5DD8A885" w14:textId="5BC1936D" w:rsidR="00801603" w:rsidRPr="002B6DF9" w:rsidRDefault="007E587C" w:rsidP="00464C6B">
      <w:pPr>
        <w:spacing w:after="0" w:line="240" w:lineRule="auto"/>
        <w:rPr>
          <w:rFonts w:cs="Arial"/>
          <w:u w:val="single"/>
        </w:rPr>
      </w:pPr>
      <w:r w:rsidRPr="002B6DF9">
        <w:rPr>
          <w:rFonts w:cs="Arial"/>
          <w:b/>
          <w:u w:val="single"/>
        </w:rPr>
        <w:t>OFFICE HOURS</w:t>
      </w:r>
      <w:r w:rsidR="00801603" w:rsidRPr="002B6DF9">
        <w:rPr>
          <w:rFonts w:cs="Arial"/>
          <w:u w:val="single"/>
        </w:rPr>
        <w:t xml:space="preserve"> </w:t>
      </w:r>
    </w:p>
    <w:p w14:paraId="7BAF522D" w14:textId="12C66CC5" w:rsidR="007E587C" w:rsidRPr="00F32131" w:rsidRDefault="0032497E" w:rsidP="00464C6B">
      <w:pPr>
        <w:spacing w:after="0" w:line="240" w:lineRule="auto"/>
        <w:rPr>
          <w:rFonts w:cs="Arial"/>
        </w:rPr>
      </w:pPr>
      <w:r w:rsidRPr="00F32131">
        <w:rPr>
          <w:rFonts w:cs="Arial"/>
        </w:rPr>
        <w:t>By appointment: rtabak@wustl.edu</w:t>
      </w:r>
    </w:p>
    <w:p w14:paraId="6E42DE7B" w14:textId="77777777" w:rsidR="00086933" w:rsidRPr="002B6DF9" w:rsidRDefault="00086933" w:rsidP="00464C6B">
      <w:pPr>
        <w:spacing w:after="0" w:line="240" w:lineRule="auto"/>
        <w:rPr>
          <w:rFonts w:cs="Arial"/>
          <w:u w:val="single"/>
        </w:rPr>
      </w:pPr>
    </w:p>
    <w:p w14:paraId="29DA98C1" w14:textId="77777777" w:rsidR="00086933" w:rsidRPr="002B6DF9" w:rsidRDefault="00086933" w:rsidP="00464C6B">
      <w:pPr>
        <w:spacing w:after="0" w:line="240" w:lineRule="auto"/>
        <w:rPr>
          <w:rFonts w:cs="Arial"/>
          <w:b/>
          <w:u w:val="single"/>
        </w:rPr>
      </w:pPr>
      <w:r w:rsidRPr="002B6DF9">
        <w:rPr>
          <w:rFonts w:cs="Arial"/>
          <w:b/>
          <w:u w:val="single"/>
        </w:rPr>
        <w:t>PREREQUISITES</w:t>
      </w:r>
    </w:p>
    <w:p w14:paraId="24689596" w14:textId="351387BA" w:rsidR="00086933" w:rsidRPr="00F32131" w:rsidRDefault="0032497E" w:rsidP="00464C6B">
      <w:pPr>
        <w:spacing w:after="0" w:line="240" w:lineRule="auto"/>
        <w:rPr>
          <w:rFonts w:cs="Arial"/>
        </w:rPr>
      </w:pPr>
      <w:r w:rsidRPr="00F32131">
        <w:rPr>
          <w:rFonts w:cs="Arial"/>
        </w:rPr>
        <w:t>None</w:t>
      </w:r>
    </w:p>
    <w:p w14:paraId="5B3F5AE1" w14:textId="77777777" w:rsidR="00086933" w:rsidRPr="002B6DF9" w:rsidRDefault="00086933" w:rsidP="00464C6B">
      <w:pPr>
        <w:spacing w:after="0" w:line="240" w:lineRule="auto"/>
        <w:rPr>
          <w:rFonts w:cs="Arial"/>
          <w:b/>
          <w:u w:val="single"/>
        </w:rPr>
      </w:pPr>
    </w:p>
    <w:p w14:paraId="52029B58" w14:textId="6EA790A7" w:rsidR="00F82AF0" w:rsidRPr="002B6DF9" w:rsidRDefault="007E587C" w:rsidP="00464C6B">
      <w:pPr>
        <w:spacing w:after="0" w:line="240" w:lineRule="auto"/>
        <w:rPr>
          <w:rFonts w:cs="Arial"/>
          <w:b/>
          <w:u w:val="single"/>
        </w:rPr>
      </w:pPr>
      <w:r w:rsidRPr="002B6DF9">
        <w:rPr>
          <w:rFonts w:cs="Arial"/>
          <w:b/>
          <w:u w:val="single"/>
        </w:rPr>
        <w:t>TARGET AUDIENCE</w:t>
      </w:r>
    </w:p>
    <w:p w14:paraId="4D5ECADD" w14:textId="46867B92" w:rsidR="007E587C" w:rsidRPr="00F32131" w:rsidRDefault="003112DE" w:rsidP="00464C6B">
      <w:pPr>
        <w:spacing w:after="0" w:line="240" w:lineRule="auto"/>
        <w:rPr>
          <w:rFonts w:cs="Arial"/>
        </w:rPr>
      </w:pPr>
      <w:r w:rsidRPr="00F32131">
        <w:rPr>
          <w:rFonts w:cs="Arial"/>
        </w:rPr>
        <w:t>Researchers in clinical and population sciences; clinical training program participants; MSPH, MPH, and MSW students; prior research experience is helpful but not required.</w:t>
      </w:r>
    </w:p>
    <w:p w14:paraId="50F9FAC3" w14:textId="77777777" w:rsidR="00464C6B" w:rsidRPr="002B6DF9" w:rsidRDefault="00464C6B" w:rsidP="00464C6B">
      <w:pPr>
        <w:spacing w:after="0" w:line="240" w:lineRule="auto"/>
        <w:rPr>
          <w:rFonts w:cs="Arial"/>
          <w:b/>
          <w:u w:val="single"/>
        </w:rPr>
      </w:pPr>
    </w:p>
    <w:p w14:paraId="2880C7BA" w14:textId="1E49766B" w:rsidR="00DA438C" w:rsidRPr="002B6DF9" w:rsidRDefault="007E587C" w:rsidP="00464C6B">
      <w:pPr>
        <w:spacing w:after="0" w:line="240" w:lineRule="auto"/>
        <w:rPr>
          <w:rStyle w:val="apple-converted-space"/>
          <w:rFonts w:cs="Arial"/>
          <w:u w:val="single"/>
        </w:rPr>
      </w:pPr>
      <w:r w:rsidRPr="002B6DF9">
        <w:rPr>
          <w:rFonts w:cs="Arial"/>
          <w:b/>
          <w:u w:val="single"/>
        </w:rPr>
        <w:t>COURSE DESCPRITION &amp; OBJECTIVES</w:t>
      </w:r>
    </w:p>
    <w:p w14:paraId="1EE2BE68" w14:textId="4CBBBE01" w:rsidR="007E587C" w:rsidRPr="00F32131" w:rsidRDefault="00B47A78" w:rsidP="00464C6B">
      <w:pPr>
        <w:spacing w:after="0" w:line="240" w:lineRule="auto"/>
        <w:rPr>
          <w:rStyle w:val="apple-converted-space"/>
          <w:rFonts w:cs="Arial"/>
          <w:color w:val="000000"/>
        </w:rPr>
      </w:pPr>
      <w:r w:rsidRPr="00B47A78">
        <w:rPr>
          <w:rStyle w:val="apple-converted-space"/>
          <w:rFonts w:cs="Arial"/>
          <w:color w:val="000000"/>
        </w:rPr>
        <w:t>This course provides an overview of dissemination and implementation (D&amp;I) science (i.e., translational research in health). Topics include the importance and language of D&amp;I science; designs, methods, and measures; differences and similarities across clinical, public health, and policy settings; selected tools for D&amp;I research and practice; and future issues.</w:t>
      </w:r>
    </w:p>
    <w:p w14:paraId="2115EE1F" w14:textId="77777777" w:rsidR="00464C6B" w:rsidRPr="002B6DF9" w:rsidRDefault="00464C6B" w:rsidP="00464C6B">
      <w:pPr>
        <w:spacing w:after="0" w:line="240" w:lineRule="auto"/>
        <w:rPr>
          <w:rStyle w:val="apple-converted-space"/>
          <w:rFonts w:cs="Arial"/>
          <w:b/>
          <w:color w:val="000000"/>
          <w:u w:val="single"/>
        </w:rPr>
      </w:pPr>
    </w:p>
    <w:p w14:paraId="12917FFF" w14:textId="0350B6F9" w:rsidR="00DA438C" w:rsidRPr="002B6DF9" w:rsidRDefault="007E587C" w:rsidP="00464C6B">
      <w:pPr>
        <w:spacing w:after="0" w:line="240" w:lineRule="auto"/>
        <w:rPr>
          <w:rFonts w:cs="Arial"/>
          <w:u w:val="single"/>
        </w:rPr>
      </w:pPr>
      <w:r w:rsidRPr="002B6DF9">
        <w:rPr>
          <w:rFonts w:cs="Arial"/>
          <w:b/>
          <w:u w:val="single"/>
        </w:rPr>
        <w:t>COMPETENCIES</w:t>
      </w:r>
    </w:p>
    <w:p w14:paraId="7CC99512" w14:textId="77777777" w:rsidR="005458FF" w:rsidRPr="003E5862" w:rsidRDefault="005458FF" w:rsidP="005458FF">
      <w:pPr>
        <w:pStyle w:val="NoSpacing"/>
        <w:numPr>
          <w:ilvl w:val="0"/>
          <w:numId w:val="25"/>
        </w:numPr>
        <w:rPr>
          <w:rFonts w:cstheme="minorHAnsi"/>
        </w:rPr>
      </w:pPr>
      <w:r w:rsidRPr="003E5862">
        <w:rPr>
          <w:rFonts w:cstheme="minorHAnsi"/>
        </w:rPr>
        <w:t>Understand the importance and language of D&amp;I science.</w:t>
      </w:r>
    </w:p>
    <w:p w14:paraId="5C68DCF5" w14:textId="77777777" w:rsidR="005458FF" w:rsidRPr="003E5862" w:rsidRDefault="005458FF" w:rsidP="005458FF">
      <w:pPr>
        <w:pStyle w:val="NoSpacing"/>
        <w:numPr>
          <w:ilvl w:val="0"/>
          <w:numId w:val="25"/>
        </w:numPr>
        <w:rPr>
          <w:rFonts w:cstheme="minorHAnsi"/>
        </w:rPr>
      </w:pPr>
      <w:r w:rsidRPr="003E5862">
        <w:rPr>
          <w:rFonts w:cstheme="minorHAnsi"/>
        </w:rPr>
        <w:t>Explore the theories and frameworks that are commonly used in D&amp;I research and practice.</w:t>
      </w:r>
    </w:p>
    <w:p w14:paraId="3DF181F0" w14:textId="77777777" w:rsidR="005458FF" w:rsidRPr="003E5862" w:rsidRDefault="005458FF" w:rsidP="005458FF">
      <w:pPr>
        <w:pStyle w:val="NoSpacing"/>
        <w:numPr>
          <w:ilvl w:val="0"/>
          <w:numId w:val="25"/>
        </w:numPr>
        <w:rPr>
          <w:rFonts w:cstheme="minorHAnsi"/>
        </w:rPr>
      </w:pPr>
      <w:r w:rsidRPr="003E5862">
        <w:rPr>
          <w:rFonts w:cstheme="minorHAnsi"/>
        </w:rPr>
        <w:t>Describe the importance of context at multiple levels in D&amp;I science</w:t>
      </w:r>
    </w:p>
    <w:p w14:paraId="7512B358" w14:textId="77777777" w:rsidR="005458FF" w:rsidRPr="003E5862" w:rsidRDefault="005458FF" w:rsidP="005458FF">
      <w:pPr>
        <w:pStyle w:val="NoSpacing"/>
        <w:numPr>
          <w:ilvl w:val="0"/>
          <w:numId w:val="25"/>
        </w:numPr>
        <w:rPr>
          <w:rFonts w:cstheme="minorHAnsi"/>
        </w:rPr>
      </w:pPr>
      <w:r w:rsidRPr="003E5862">
        <w:rPr>
          <w:rFonts w:cstheme="minorHAnsi"/>
        </w:rPr>
        <w:t>Distinguish between implementation strategies and outcomes and those in efficacy and effectiveness research</w:t>
      </w:r>
    </w:p>
    <w:p w14:paraId="69772B08" w14:textId="77777777" w:rsidR="005458FF" w:rsidRPr="003E5862" w:rsidRDefault="005458FF" w:rsidP="005458FF">
      <w:pPr>
        <w:pStyle w:val="NoSpacing"/>
        <w:numPr>
          <w:ilvl w:val="0"/>
          <w:numId w:val="25"/>
        </w:numPr>
        <w:rPr>
          <w:rFonts w:cstheme="minorHAnsi"/>
        </w:rPr>
      </w:pPr>
      <w:r w:rsidRPr="003E5862">
        <w:rPr>
          <w:rFonts w:cstheme="minorHAnsi"/>
        </w:rPr>
        <w:t>Describe various study designs, methods, and measures that support D&amp;I science.</w:t>
      </w:r>
    </w:p>
    <w:p w14:paraId="1BBAB9AF" w14:textId="77777777" w:rsidR="005458FF" w:rsidRPr="003E5862" w:rsidRDefault="005458FF" w:rsidP="005458FF">
      <w:pPr>
        <w:pStyle w:val="NoSpacing"/>
        <w:numPr>
          <w:ilvl w:val="0"/>
          <w:numId w:val="25"/>
        </w:numPr>
        <w:rPr>
          <w:rFonts w:cstheme="minorHAnsi"/>
        </w:rPr>
      </w:pPr>
      <w:r w:rsidRPr="003E5862">
        <w:rPr>
          <w:rFonts w:cstheme="minorHAnsi"/>
        </w:rPr>
        <w:t>Understand D&amp;I methods and challenges across various settings and populations.</w:t>
      </w:r>
    </w:p>
    <w:p w14:paraId="65723801" w14:textId="77777777" w:rsidR="005458FF" w:rsidRPr="003E5862" w:rsidRDefault="005458FF" w:rsidP="005458FF">
      <w:pPr>
        <w:pStyle w:val="NoSpacing"/>
        <w:numPr>
          <w:ilvl w:val="0"/>
          <w:numId w:val="25"/>
        </w:numPr>
        <w:rPr>
          <w:rFonts w:cstheme="minorHAnsi"/>
        </w:rPr>
      </w:pPr>
      <w:r w:rsidRPr="003E5862">
        <w:rPr>
          <w:rFonts w:cstheme="minorHAnsi"/>
        </w:rPr>
        <w:t>Recognize opportunities to apply D&amp;I science to intervention development and evaluation</w:t>
      </w:r>
    </w:p>
    <w:p w14:paraId="69DB5880" w14:textId="77777777" w:rsidR="005458FF" w:rsidRPr="003E5862" w:rsidRDefault="005458FF" w:rsidP="005458FF">
      <w:pPr>
        <w:pStyle w:val="NoSpacing"/>
        <w:numPr>
          <w:ilvl w:val="0"/>
          <w:numId w:val="25"/>
        </w:numPr>
        <w:rPr>
          <w:rFonts w:cstheme="minorHAnsi"/>
        </w:rPr>
      </w:pPr>
      <w:r w:rsidRPr="003E5862">
        <w:rPr>
          <w:rFonts w:cstheme="minorHAnsi"/>
        </w:rPr>
        <w:t>Explore the importance of systems and partnerships in D&amp;I</w:t>
      </w:r>
    </w:p>
    <w:p w14:paraId="1EDF140C" w14:textId="77777777" w:rsidR="005458FF" w:rsidRPr="003E5862" w:rsidRDefault="005458FF" w:rsidP="005458FF">
      <w:pPr>
        <w:pStyle w:val="NoSpacing"/>
        <w:numPr>
          <w:ilvl w:val="0"/>
          <w:numId w:val="25"/>
        </w:numPr>
        <w:rPr>
          <w:rFonts w:cstheme="minorHAnsi"/>
        </w:rPr>
      </w:pPr>
      <w:r w:rsidRPr="003E5862">
        <w:rPr>
          <w:rFonts w:cstheme="minorHAnsi"/>
        </w:rPr>
        <w:t>Understand how D&amp;I science can further your research/practice plans and career.</w:t>
      </w:r>
    </w:p>
    <w:p w14:paraId="0390A6BB" w14:textId="77777777" w:rsidR="007E587C" w:rsidRPr="002B6DF9" w:rsidRDefault="007E587C" w:rsidP="00464C6B">
      <w:pPr>
        <w:spacing w:after="0" w:line="240" w:lineRule="auto"/>
        <w:rPr>
          <w:rStyle w:val="apple-converted-space"/>
          <w:rFonts w:cs="Arial"/>
        </w:rPr>
      </w:pPr>
    </w:p>
    <w:p w14:paraId="72E806F7" w14:textId="77777777" w:rsidR="00DA438C" w:rsidRPr="002B6DF9" w:rsidRDefault="00DA438C" w:rsidP="00464C6B">
      <w:pPr>
        <w:spacing w:after="0" w:line="240" w:lineRule="auto"/>
        <w:rPr>
          <w:rStyle w:val="apple-converted-space"/>
          <w:rFonts w:cs="Arial"/>
          <w:b/>
          <w:color w:val="000000"/>
        </w:rPr>
      </w:pPr>
    </w:p>
    <w:p w14:paraId="2D5C4D08" w14:textId="62CFD7BA" w:rsidR="00464C6B" w:rsidRPr="002B6DF9" w:rsidRDefault="007E587C" w:rsidP="00464C6B">
      <w:pPr>
        <w:spacing w:after="0" w:line="240" w:lineRule="auto"/>
        <w:rPr>
          <w:rFonts w:cs="Arial"/>
          <w:color w:val="FF0000"/>
          <w:sz w:val="20"/>
        </w:rPr>
      </w:pPr>
      <w:r w:rsidRPr="002B6DF9">
        <w:rPr>
          <w:rStyle w:val="apple-converted-space"/>
          <w:rFonts w:cs="Arial"/>
          <w:b/>
          <w:color w:val="000000"/>
          <w:u w:val="single"/>
        </w:rPr>
        <w:t>GRADING</w:t>
      </w:r>
    </w:p>
    <w:p w14:paraId="589C3C6F" w14:textId="680D0082" w:rsidR="007E587C" w:rsidRPr="002B6DF9" w:rsidRDefault="007E587C" w:rsidP="00464C6B">
      <w:pPr>
        <w:spacing w:after="0" w:line="240" w:lineRule="auto"/>
        <w:rPr>
          <w:rFonts w:cs="Arial"/>
          <w:b/>
          <w:u w:val="single"/>
        </w:rPr>
      </w:pPr>
      <w:r w:rsidRPr="002B6DF9">
        <w:rPr>
          <w:rFonts w:cs="Arial"/>
        </w:rPr>
        <w:t>Your grade will be based on:</w:t>
      </w:r>
    </w:p>
    <w:p w14:paraId="6B259FBA" w14:textId="77777777" w:rsidR="005458FF" w:rsidRPr="003E5862" w:rsidRDefault="005458FF" w:rsidP="00B361F3">
      <w:pPr>
        <w:pStyle w:val="PlainText"/>
        <w:jc w:val="both"/>
        <w:rPr>
          <w:rFonts w:asciiTheme="minorHAnsi" w:hAnsiTheme="minorHAnsi" w:cstheme="minorHAnsi"/>
          <w:sz w:val="22"/>
          <w:szCs w:val="22"/>
        </w:rPr>
      </w:pPr>
    </w:p>
    <w:tbl>
      <w:tblPr>
        <w:tblStyle w:val="TableGrid"/>
        <w:tblW w:w="9319"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3132"/>
        <w:gridCol w:w="1627"/>
      </w:tblGrid>
      <w:tr w:rsidR="005458FF" w:rsidRPr="003E5862" w14:paraId="3E06D113" w14:textId="77777777" w:rsidTr="007F4371">
        <w:tc>
          <w:tcPr>
            <w:tcW w:w="4560" w:type="dxa"/>
            <w:tcBorders>
              <w:top w:val="single" w:sz="24" w:space="0" w:color="000000"/>
              <w:bottom w:val="single" w:sz="24" w:space="0" w:color="000000"/>
            </w:tcBorders>
          </w:tcPr>
          <w:p w14:paraId="1D6D9031" w14:textId="77777777" w:rsidR="005458FF" w:rsidRPr="003E5862" w:rsidRDefault="005458FF" w:rsidP="007F4371">
            <w:pPr>
              <w:widowControl w:val="0"/>
              <w:jc w:val="both"/>
              <w:rPr>
                <w:rFonts w:asciiTheme="minorHAnsi" w:eastAsia="Times New Roman" w:hAnsiTheme="minorHAnsi" w:cstheme="minorHAnsi"/>
                <w:b/>
                <w:bCs/>
              </w:rPr>
            </w:pPr>
            <w:r w:rsidRPr="003E5862">
              <w:rPr>
                <w:rFonts w:asciiTheme="minorHAnsi" w:eastAsia="Times New Roman" w:hAnsiTheme="minorHAnsi" w:cstheme="minorHAnsi"/>
                <w:b/>
                <w:bCs/>
              </w:rPr>
              <w:t>Assignment</w:t>
            </w:r>
          </w:p>
        </w:tc>
        <w:tc>
          <w:tcPr>
            <w:tcW w:w="3132" w:type="dxa"/>
            <w:tcBorders>
              <w:top w:val="single" w:sz="24" w:space="0" w:color="000000"/>
              <w:bottom w:val="single" w:sz="24" w:space="0" w:color="000000"/>
            </w:tcBorders>
          </w:tcPr>
          <w:p w14:paraId="0F4177C1" w14:textId="77777777" w:rsidR="005458FF" w:rsidRPr="003E5862" w:rsidRDefault="005458FF" w:rsidP="007F4371">
            <w:pPr>
              <w:widowControl w:val="0"/>
              <w:jc w:val="both"/>
              <w:rPr>
                <w:rFonts w:asciiTheme="minorHAnsi" w:eastAsia="Times New Roman" w:hAnsiTheme="minorHAnsi" w:cstheme="minorHAnsi"/>
                <w:b/>
                <w:bCs/>
              </w:rPr>
            </w:pPr>
            <w:r w:rsidRPr="003E5862">
              <w:rPr>
                <w:rFonts w:asciiTheme="minorHAnsi" w:eastAsia="Times New Roman" w:hAnsiTheme="minorHAnsi" w:cstheme="minorHAnsi"/>
                <w:b/>
                <w:bCs/>
              </w:rPr>
              <w:t>Date Due</w:t>
            </w:r>
          </w:p>
        </w:tc>
        <w:tc>
          <w:tcPr>
            <w:tcW w:w="1627" w:type="dxa"/>
            <w:tcBorders>
              <w:top w:val="single" w:sz="24" w:space="0" w:color="000000"/>
              <w:bottom w:val="single" w:sz="24" w:space="0" w:color="000000"/>
            </w:tcBorders>
          </w:tcPr>
          <w:p w14:paraId="5D9BD352" w14:textId="77777777" w:rsidR="005458FF" w:rsidRPr="003E5862" w:rsidRDefault="005458FF" w:rsidP="007F4371">
            <w:pPr>
              <w:widowControl w:val="0"/>
              <w:jc w:val="both"/>
              <w:rPr>
                <w:rFonts w:asciiTheme="minorHAnsi" w:eastAsia="Times New Roman" w:hAnsiTheme="minorHAnsi" w:cstheme="minorHAnsi"/>
                <w:b/>
                <w:bCs/>
              </w:rPr>
            </w:pPr>
            <w:r w:rsidRPr="003E5862">
              <w:rPr>
                <w:rFonts w:asciiTheme="minorHAnsi" w:eastAsia="Times New Roman" w:hAnsiTheme="minorHAnsi" w:cstheme="minorHAnsi"/>
                <w:b/>
                <w:bCs/>
              </w:rPr>
              <w:t>Grade (%)</w:t>
            </w:r>
          </w:p>
        </w:tc>
      </w:tr>
      <w:tr w:rsidR="005458FF" w:rsidRPr="003E5862" w14:paraId="760EDD05" w14:textId="77777777" w:rsidTr="007F4371">
        <w:tc>
          <w:tcPr>
            <w:tcW w:w="4560" w:type="dxa"/>
            <w:tcBorders>
              <w:top w:val="single" w:sz="4" w:space="0" w:color="000000"/>
            </w:tcBorders>
          </w:tcPr>
          <w:p w14:paraId="268F890A" w14:textId="77777777" w:rsidR="005458FF" w:rsidRPr="003E5862" w:rsidRDefault="005458FF" w:rsidP="007F4371">
            <w:pPr>
              <w:widowControl w:val="0"/>
              <w:jc w:val="both"/>
              <w:rPr>
                <w:rFonts w:asciiTheme="minorHAnsi" w:eastAsia="Times New Roman" w:hAnsiTheme="minorHAnsi" w:cstheme="minorHAnsi"/>
              </w:rPr>
            </w:pPr>
            <w:r w:rsidRPr="003E5862">
              <w:rPr>
                <w:rFonts w:asciiTheme="minorHAnsi" w:eastAsia="Times New Roman" w:hAnsiTheme="minorHAnsi" w:cstheme="minorHAnsi"/>
              </w:rPr>
              <w:t>Webinar assignment</w:t>
            </w:r>
          </w:p>
        </w:tc>
        <w:tc>
          <w:tcPr>
            <w:tcW w:w="3132" w:type="dxa"/>
            <w:tcBorders>
              <w:top w:val="single" w:sz="4" w:space="0" w:color="000000"/>
            </w:tcBorders>
          </w:tcPr>
          <w:p w14:paraId="6B8914E1" w14:textId="00259030" w:rsidR="005458FF" w:rsidRPr="003E5862" w:rsidRDefault="005458FF">
            <w:pPr>
              <w:widowControl w:val="0"/>
              <w:jc w:val="both"/>
              <w:rPr>
                <w:rFonts w:asciiTheme="minorHAnsi" w:eastAsia="Times New Roman" w:hAnsiTheme="minorHAnsi" w:cstheme="minorHAnsi"/>
              </w:rPr>
            </w:pPr>
            <w:r w:rsidRPr="003E5862">
              <w:rPr>
                <w:rFonts w:asciiTheme="minorHAnsi" w:eastAsia="Times New Roman" w:hAnsiTheme="minorHAnsi" w:cstheme="minorHAnsi"/>
              </w:rPr>
              <w:t xml:space="preserve">January </w:t>
            </w:r>
            <w:r w:rsidR="001F12D6">
              <w:rPr>
                <w:rFonts w:asciiTheme="minorHAnsi" w:eastAsia="Times New Roman" w:hAnsiTheme="minorHAnsi" w:cstheme="minorHAnsi"/>
              </w:rPr>
              <w:t>29</w:t>
            </w:r>
            <w:r w:rsidRPr="003E5862">
              <w:rPr>
                <w:rFonts w:asciiTheme="minorHAnsi" w:eastAsia="Times New Roman" w:hAnsiTheme="minorHAnsi" w:cstheme="minorHAnsi"/>
                <w:vertAlign w:val="superscript"/>
              </w:rPr>
              <w:t>*</w:t>
            </w:r>
          </w:p>
        </w:tc>
        <w:tc>
          <w:tcPr>
            <w:tcW w:w="1627" w:type="dxa"/>
            <w:tcBorders>
              <w:top w:val="single" w:sz="4" w:space="0" w:color="000000"/>
            </w:tcBorders>
          </w:tcPr>
          <w:p w14:paraId="04F2EA30" w14:textId="77777777" w:rsidR="005458FF" w:rsidRPr="003E5862" w:rsidRDefault="005458FF" w:rsidP="007F4371">
            <w:pPr>
              <w:widowControl w:val="0"/>
              <w:jc w:val="right"/>
              <w:rPr>
                <w:rFonts w:asciiTheme="minorHAnsi" w:eastAsia="Times New Roman" w:hAnsiTheme="minorHAnsi" w:cstheme="minorHAnsi"/>
              </w:rPr>
            </w:pPr>
            <w:r w:rsidRPr="003E5862">
              <w:rPr>
                <w:rFonts w:asciiTheme="minorHAnsi" w:eastAsia="Times New Roman" w:hAnsiTheme="minorHAnsi" w:cstheme="minorHAnsi"/>
              </w:rPr>
              <w:t>10%</w:t>
            </w:r>
          </w:p>
        </w:tc>
      </w:tr>
      <w:tr w:rsidR="005458FF" w:rsidRPr="003E5862" w14:paraId="3544C0D0" w14:textId="77777777" w:rsidTr="007F4371">
        <w:tc>
          <w:tcPr>
            <w:tcW w:w="4560" w:type="dxa"/>
            <w:tcBorders>
              <w:top w:val="single" w:sz="4" w:space="0" w:color="000000"/>
            </w:tcBorders>
          </w:tcPr>
          <w:p w14:paraId="334201C0" w14:textId="77777777" w:rsidR="005458FF" w:rsidRPr="003E5862" w:rsidRDefault="005458FF" w:rsidP="007F4371">
            <w:pPr>
              <w:widowControl w:val="0"/>
              <w:jc w:val="both"/>
              <w:rPr>
                <w:rFonts w:asciiTheme="minorHAnsi" w:eastAsia="Times New Roman" w:hAnsiTheme="minorHAnsi" w:cstheme="minorHAnsi"/>
              </w:rPr>
            </w:pPr>
            <w:r w:rsidRPr="00056CEF">
              <w:rPr>
                <w:rFonts w:cstheme="minorHAnsi"/>
              </w:rPr>
              <w:lastRenderedPageBreak/>
              <w:t>Final Project: Topic Idea</w:t>
            </w:r>
          </w:p>
        </w:tc>
        <w:tc>
          <w:tcPr>
            <w:tcW w:w="3132" w:type="dxa"/>
            <w:tcBorders>
              <w:top w:val="single" w:sz="4" w:space="0" w:color="000000"/>
            </w:tcBorders>
          </w:tcPr>
          <w:p w14:paraId="064A0330" w14:textId="2DED483C" w:rsidR="005458FF" w:rsidRPr="003E5862" w:rsidRDefault="005458FF">
            <w:pPr>
              <w:widowControl w:val="0"/>
              <w:jc w:val="both"/>
              <w:rPr>
                <w:rFonts w:asciiTheme="minorHAnsi" w:eastAsia="Times New Roman" w:hAnsiTheme="minorHAnsi" w:cstheme="minorHAnsi"/>
              </w:rPr>
            </w:pPr>
            <w:r>
              <w:rPr>
                <w:rFonts w:asciiTheme="minorHAnsi" w:eastAsia="Times New Roman" w:hAnsiTheme="minorHAnsi" w:cstheme="minorHAnsi"/>
              </w:rPr>
              <w:t xml:space="preserve">February </w:t>
            </w:r>
            <w:r w:rsidR="001F12D6">
              <w:rPr>
                <w:rFonts w:asciiTheme="minorHAnsi" w:eastAsia="Times New Roman" w:hAnsiTheme="minorHAnsi" w:cstheme="minorHAnsi"/>
              </w:rPr>
              <w:t>5</w:t>
            </w:r>
          </w:p>
        </w:tc>
        <w:tc>
          <w:tcPr>
            <w:tcW w:w="1627" w:type="dxa"/>
            <w:tcBorders>
              <w:top w:val="single" w:sz="4" w:space="0" w:color="000000"/>
            </w:tcBorders>
          </w:tcPr>
          <w:p w14:paraId="6068F325" w14:textId="77777777" w:rsidR="005458FF" w:rsidRPr="003E5862" w:rsidRDefault="005458FF" w:rsidP="007F4371">
            <w:pPr>
              <w:widowControl w:val="0"/>
              <w:jc w:val="right"/>
              <w:rPr>
                <w:rFonts w:asciiTheme="minorHAnsi" w:eastAsia="Times New Roman" w:hAnsiTheme="minorHAnsi" w:cstheme="minorHAnsi"/>
              </w:rPr>
            </w:pPr>
            <w:r>
              <w:rPr>
                <w:rFonts w:asciiTheme="minorHAnsi" w:eastAsia="Times New Roman" w:hAnsiTheme="minorHAnsi" w:cstheme="minorHAnsi"/>
              </w:rPr>
              <w:t>5%</w:t>
            </w:r>
          </w:p>
        </w:tc>
      </w:tr>
      <w:tr w:rsidR="005458FF" w:rsidRPr="003E5862" w14:paraId="43DC7095" w14:textId="77777777" w:rsidTr="007F4371">
        <w:tc>
          <w:tcPr>
            <w:tcW w:w="4560" w:type="dxa"/>
            <w:tcBorders>
              <w:top w:val="single" w:sz="4" w:space="0" w:color="000000"/>
            </w:tcBorders>
          </w:tcPr>
          <w:p w14:paraId="29A5B465" w14:textId="77777777" w:rsidR="005458FF" w:rsidRPr="003E5862" w:rsidRDefault="005458FF" w:rsidP="007F4371">
            <w:pPr>
              <w:widowControl w:val="0"/>
              <w:jc w:val="both"/>
              <w:rPr>
                <w:rFonts w:asciiTheme="minorHAnsi" w:eastAsia="Times New Roman" w:hAnsiTheme="minorHAnsi" w:cstheme="minorHAnsi"/>
              </w:rPr>
            </w:pPr>
            <w:r w:rsidRPr="003E5862">
              <w:rPr>
                <w:rFonts w:asciiTheme="minorHAnsi" w:eastAsia="Times New Roman" w:hAnsiTheme="minorHAnsi" w:cstheme="minorHAnsi"/>
              </w:rPr>
              <w:t>Quality gap and evidence base for final project assignment</w:t>
            </w:r>
          </w:p>
        </w:tc>
        <w:tc>
          <w:tcPr>
            <w:tcW w:w="3132" w:type="dxa"/>
            <w:tcBorders>
              <w:top w:val="single" w:sz="4" w:space="0" w:color="000000"/>
            </w:tcBorders>
          </w:tcPr>
          <w:p w14:paraId="55064F72" w14:textId="790AE4B1" w:rsidR="005458FF" w:rsidRPr="003E5862" w:rsidRDefault="005458FF">
            <w:pPr>
              <w:widowControl w:val="0"/>
              <w:jc w:val="both"/>
              <w:rPr>
                <w:rFonts w:asciiTheme="minorHAnsi" w:eastAsia="Times New Roman" w:hAnsiTheme="minorHAnsi" w:cstheme="minorHAnsi"/>
              </w:rPr>
            </w:pPr>
            <w:r w:rsidRPr="003E5862">
              <w:rPr>
                <w:rFonts w:asciiTheme="minorHAnsi" w:eastAsia="Times New Roman" w:hAnsiTheme="minorHAnsi" w:cstheme="minorHAnsi"/>
              </w:rPr>
              <w:t xml:space="preserve">February </w:t>
            </w:r>
            <w:r w:rsidR="001F12D6">
              <w:rPr>
                <w:rFonts w:asciiTheme="minorHAnsi" w:eastAsia="Times New Roman" w:hAnsiTheme="minorHAnsi" w:cstheme="minorHAnsi"/>
              </w:rPr>
              <w:t>19</w:t>
            </w:r>
          </w:p>
        </w:tc>
        <w:tc>
          <w:tcPr>
            <w:tcW w:w="1627" w:type="dxa"/>
            <w:tcBorders>
              <w:top w:val="single" w:sz="4" w:space="0" w:color="000000"/>
            </w:tcBorders>
          </w:tcPr>
          <w:p w14:paraId="6E22B090" w14:textId="77777777" w:rsidR="005458FF" w:rsidRPr="003E5862" w:rsidRDefault="005458FF" w:rsidP="007F4371">
            <w:pPr>
              <w:widowControl w:val="0"/>
              <w:jc w:val="right"/>
              <w:rPr>
                <w:rFonts w:asciiTheme="minorHAnsi" w:eastAsia="Times New Roman" w:hAnsiTheme="minorHAnsi" w:cstheme="minorHAnsi"/>
              </w:rPr>
            </w:pPr>
            <w:r w:rsidRPr="003E5862">
              <w:rPr>
                <w:rFonts w:asciiTheme="minorHAnsi" w:eastAsia="Times New Roman" w:hAnsiTheme="minorHAnsi" w:cstheme="minorHAnsi"/>
              </w:rPr>
              <w:t>10%</w:t>
            </w:r>
          </w:p>
        </w:tc>
      </w:tr>
      <w:tr w:rsidR="005458FF" w:rsidRPr="003E5862" w14:paraId="135A2284" w14:textId="77777777" w:rsidTr="007F4371">
        <w:tc>
          <w:tcPr>
            <w:tcW w:w="4560" w:type="dxa"/>
            <w:tcBorders>
              <w:top w:val="single" w:sz="4" w:space="0" w:color="000000"/>
              <w:bottom w:val="single" w:sz="4" w:space="0" w:color="000000"/>
            </w:tcBorders>
          </w:tcPr>
          <w:p w14:paraId="7AD7F019" w14:textId="77777777" w:rsidR="005458FF" w:rsidRPr="003E5862" w:rsidRDefault="005458FF" w:rsidP="007F4371">
            <w:pPr>
              <w:widowControl w:val="0"/>
              <w:jc w:val="both"/>
              <w:rPr>
                <w:rFonts w:asciiTheme="minorHAnsi" w:eastAsia="Times New Roman" w:hAnsiTheme="minorHAnsi" w:cstheme="minorHAnsi"/>
              </w:rPr>
            </w:pPr>
            <w:r w:rsidRPr="003E5862">
              <w:rPr>
                <w:rFonts w:asciiTheme="minorHAnsi" w:eastAsia="Times New Roman" w:hAnsiTheme="minorHAnsi" w:cstheme="minorHAnsi"/>
              </w:rPr>
              <w:t>Outline for final project</w:t>
            </w:r>
          </w:p>
        </w:tc>
        <w:tc>
          <w:tcPr>
            <w:tcW w:w="3132" w:type="dxa"/>
            <w:tcBorders>
              <w:top w:val="single" w:sz="4" w:space="0" w:color="000000"/>
              <w:bottom w:val="single" w:sz="4" w:space="0" w:color="000000"/>
            </w:tcBorders>
          </w:tcPr>
          <w:p w14:paraId="4922E578" w14:textId="4E17B005" w:rsidR="005458FF" w:rsidRPr="003E5862" w:rsidRDefault="005458FF">
            <w:pPr>
              <w:widowControl w:val="0"/>
              <w:jc w:val="both"/>
              <w:rPr>
                <w:rFonts w:asciiTheme="minorHAnsi" w:eastAsia="Times New Roman" w:hAnsiTheme="minorHAnsi" w:cstheme="minorHAnsi"/>
              </w:rPr>
            </w:pPr>
            <w:r w:rsidRPr="003E5862">
              <w:rPr>
                <w:rFonts w:asciiTheme="minorHAnsi" w:eastAsia="Times New Roman" w:hAnsiTheme="minorHAnsi" w:cstheme="minorHAnsi"/>
              </w:rPr>
              <w:t>March 1</w:t>
            </w:r>
            <w:r w:rsidR="00E80347">
              <w:rPr>
                <w:rFonts w:asciiTheme="minorHAnsi" w:eastAsia="Times New Roman" w:hAnsiTheme="minorHAnsi" w:cstheme="minorHAnsi"/>
              </w:rPr>
              <w:t>1</w:t>
            </w:r>
            <w:r w:rsidRPr="003E5862">
              <w:rPr>
                <w:rFonts w:asciiTheme="minorHAnsi" w:eastAsia="Times New Roman" w:hAnsiTheme="minorHAnsi" w:cstheme="minorHAnsi"/>
                <w:vertAlign w:val="superscript"/>
              </w:rPr>
              <w:t>*</w:t>
            </w:r>
          </w:p>
        </w:tc>
        <w:tc>
          <w:tcPr>
            <w:tcW w:w="1627" w:type="dxa"/>
            <w:tcBorders>
              <w:top w:val="single" w:sz="4" w:space="0" w:color="000000"/>
              <w:bottom w:val="single" w:sz="4" w:space="0" w:color="000000"/>
            </w:tcBorders>
          </w:tcPr>
          <w:p w14:paraId="5ACA0622" w14:textId="77777777" w:rsidR="005458FF" w:rsidRPr="003E5862" w:rsidRDefault="005458FF" w:rsidP="007F4371">
            <w:pPr>
              <w:widowControl w:val="0"/>
              <w:jc w:val="right"/>
              <w:rPr>
                <w:rFonts w:asciiTheme="minorHAnsi" w:eastAsia="Times New Roman" w:hAnsiTheme="minorHAnsi" w:cstheme="minorHAnsi"/>
              </w:rPr>
            </w:pPr>
            <w:r w:rsidRPr="003E5862">
              <w:rPr>
                <w:rFonts w:asciiTheme="minorHAnsi" w:eastAsia="Times New Roman" w:hAnsiTheme="minorHAnsi" w:cstheme="minorHAnsi"/>
              </w:rPr>
              <w:t>15%</w:t>
            </w:r>
          </w:p>
        </w:tc>
      </w:tr>
      <w:tr w:rsidR="005458FF" w:rsidRPr="003E5862" w14:paraId="33F66224" w14:textId="77777777" w:rsidTr="007F4371">
        <w:tc>
          <w:tcPr>
            <w:tcW w:w="4560" w:type="dxa"/>
            <w:tcBorders>
              <w:top w:val="single" w:sz="4" w:space="0" w:color="000000"/>
            </w:tcBorders>
          </w:tcPr>
          <w:p w14:paraId="03EAE578" w14:textId="3C396680" w:rsidR="005458FF" w:rsidRPr="003E5862" w:rsidRDefault="005458FF">
            <w:pPr>
              <w:widowControl w:val="0"/>
              <w:jc w:val="both"/>
              <w:rPr>
                <w:rFonts w:asciiTheme="minorHAnsi" w:eastAsia="Times New Roman" w:hAnsiTheme="minorHAnsi" w:cstheme="minorHAnsi"/>
              </w:rPr>
            </w:pPr>
            <w:r w:rsidRPr="003E5862">
              <w:rPr>
                <w:rFonts w:asciiTheme="minorHAnsi" w:eastAsia="Times New Roman" w:hAnsiTheme="minorHAnsi" w:cstheme="minorHAnsi"/>
              </w:rPr>
              <w:t>Final project presentation</w:t>
            </w:r>
          </w:p>
        </w:tc>
        <w:tc>
          <w:tcPr>
            <w:tcW w:w="3132" w:type="dxa"/>
            <w:tcBorders>
              <w:top w:val="single" w:sz="4" w:space="0" w:color="000000"/>
            </w:tcBorders>
          </w:tcPr>
          <w:p w14:paraId="6571D2F5" w14:textId="6C3F9234" w:rsidR="005458FF" w:rsidRPr="003E5862" w:rsidRDefault="00E80347">
            <w:pPr>
              <w:widowControl w:val="0"/>
              <w:jc w:val="both"/>
              <w:rPr>
                <w:rFonts w:asciiTheme="minorHAnsi" w:eastAsia="Times New Roman" w:hAnsiTheme="minorHAnsi" w:cstheme="minorHAnsi"/>
              </w:rPr>
            </w:pPr>
            <w:r w:rsidRPr="00B361F3">
              <w:rPr>
                <w:rFonts w:eastAsia="Times New Roman" w:cstheme="minorHAnsi"/>
              </w:rPr>
              <w:t>April</w:t>
            </w:r>
            <w:r w:rsidR="005458FF" w:rsidRPr="00886E45">
              <w:rPr>
                <w:rFonts w:eastAsia="Times New Roman" w:cstheme="minorHAnsi"/>
              </w:rPr>
              <w:t xml:space="preserve"> </w:t>
            </w:r>
            <w:r w:rsidRPr="00B361F3">
              <w:rPr>
                <w:rFonts w:eastAsia="Times New Roman" w:cstheme="minorHAnsi"/>
              </w:rPr>
              <w:t>22</w:t>
            </w:r>
            <w:r w:rsidR="005458FF" w:rsidRPr="003E5862">
              <w:rPr>
                <w:rFonts w:asciiTheme="minorHAnsi" w:eastAsia="Times New Roman" w:hAnsiTheme="minorHAnsi" w:cstheme="minorHAnsi"/>
                <w:vertAlign w:val="superscript"/>
              </w:rPr>
              <w:t>*</w:t>
            </w:r>
          </w:p>
        </w:tc>
        <w:tc>
          <w:tcPr>
            <w:tcW w:w="1627" w:type="dxa"/>
            <w:tcBorders>
              <w:top w:val="single" w:sz="4" w:space="0" w:color="000000"/>
            </w:tcBorders>
          </w:tcPr>
          <w:p w14:paraId="5AB6DAD7" w14:textId="77777777" w:rsidR="005458FF" w:rsidRPr="003E5862" w:rsidRDefault="005458FF" w:rsidP="007F4371">
            <w:pPr>
              <w:widowControl w:val="0"/>
              <w:jc w:val="right"/>
              <w:rPr>
                <w:rFonts w:asciiTheme="minorHAnsi" w:eastAsia="Times New Roman" w:hAnsiTheme="minorHAnsi" w:cstheme="minorHAnsi"/>
              </w:rPr>
            </w:pPr>
            <w:r w:rsidRPr="003E5862">
              <w:rPr>
                <w:rFonts w:asciiTheme="minorHAnsi" w:eastAsia="Times New Roman" w:hAnsiTheme="minorHAnsi" w:cstheme="minorHAnsi"/>
              </w:rPr>
              <w:t>20%</w:t>
            </w:r>
          </w:p>
        </w:tc>
      </w:tr>
      <w:tr w:rsidR="005458FF" w:rsidRPr="003E5862" w14:paraId="382B2F0D" w14:textId="77777777" w:rsidTr="007F4371">
        <w:tc>
          <w:tcPr>
            <w:tcW w:w="4560" w:type="dxa"/>
            <w:tcBorders>
              <w:top w:val="single" w:sz="4" w:space="0" w:color="000000"/>
            </w:tcBorders>
          </w:tcPr>
          <w:p w14:paraId="0E1FD879" w14:textId="77777777" w:rsidR="005458FF" w:rsidRPr="003E5862" w:rsidRDefault="005458FF" w:rsidP="007F4371">
            <w:pPr>
              <w:widowControl w:val="0"/>
              <w:jc w:val="both"/>
              <w:rPr>
                <w:rFonts w:asciiTheme="minorHAnsi" w:eastAsia="Times New Roman" w:hAnsiTheme="minorHAnsi" w:cstheme="minorHAnsi"/>
              </w:rPr>
            </w:pPr>
            <w:r w:rsidRPr="003E5862">
              <w:rPr>
                <w:rFonts w:asciiTheme="minorHAnsi" w:eastAsia="Times New Roman" w:hAnsiTheme="minorHAnsi" w:cstheme="minorHAnsi"/>
              </w:rPr>
              <w:t>Final project paper</w:t>
            </w:r>
          </w:p>
        </w:tc>
        <w:tc>
          <w:tcPr>
            <w:tcW w:w="3132" w:type="dxa"/>
            <w:tcBorders>
              <w:top w:val="single" w:sz="4" w:space="0" w:color="000000"/>
            </w:tcBorders>
          </w:tcPr>
          <w:p w14:paraId="76C041D1" w14:textId="0C1CBB65" w:rsidR="005458FF" w:rsidRPr="003E5862" w:rsidRDefault="00886E45">
            <w:pPr>
              <w:widowControl w:val="0"/>
              <w:jc w:val="both"/>
              <w:rPr>
                <w:rFonts w:asciiTheme="minorHAnsi" w:eastAsia="Times New Roman" w:hAnsiTheme="minorHAnsi" w:cstheme="minorHAnsi"/>
              </w:rPr>
            </w:pPr>
            <w:r>
              <w:rPr>
                <w:rFonts w:asciiTheme="minorHAnsi" w:eastAsia="Times New Roman" w:hAnsiTheme="minorHAnsi" w:cstheme="minorHAnsi"/>
              </w:rPr>
              <w:t>April</w:t>
            </w:r>
            <w:r w:rsidR="005458FF" w:rsidRPr="003E5862">
              <w:rPr>
                <w:rFonts w:asciiTheme="minorHAnsi" w:eastAsia="Times New Roman" w:hAnsiTheme="minorHAnsi" w:cstheme="minorHAnsi"/>
              </w:rPr>
              <w:t xml:space="preserve"> </w:t>
            </w:r>
            <w:r>
              <w:rPr>
                <w:rFonts w:asciiTheme="minorHAnsi" w:eastAsia="Times New Roman" w:hAnsiTheme="minorHAnsi" w:cstheme="minorHAnsi"/>
              </w:rPr>
              <w:t>30</w:t>
            </w:r>
            <w:r w:rsidR="005458FF" w:rsidRPr="003E5862">
              <w:rPr>
                <w:rFonts w:asciiTheme="minorHAnsi" w:eastAsia="Times New Roman" w:hAnsiTheme="minorHAnsi" w:cstheme="minorHAnsi"/>
                <w:vertAlign w:val="superscript"/>
              </w:rPr>
              <w:t>**</w:t>
            </w:r>
          </w:p>
        </w:tc>
        <w:tc>
          <w:tcPr>
            <w:tcW w:w="1627" w:type="dxa"/>
            <w:tcBorders>
              <w:top w:val="single" w:sz="4" w:space="0" w:color="000000"/>
            </w:tcBorders>
          </w:tcPr>
          <w:p w14:paraId="48A9E10B" w14:textId="77777777" w:rsidR="005458FF" w:rsidRPr="003E5862" w:rsidRDefault="005458FF" w:rsidP="007F4371">
            <w:pPr>
              <w:widowControl w:val="0"/>
              <w:jc w:val="right"/>
              <w:rPr>
                <w:rFonts w:asciiTheme="minorHAnsi" w:eastAsia="Times New Roman" w:hAnsiTheme="minorHAnsi" w:cstheme="minorHAnsi"/>
              </w:rPr>
            </w:pPr>
            <w:r>
              <w:rPr>
                <w:rFonts w:asciiTheme="minorHAnsi" w:eastAsia="Times New Roman" w:hAnsiTheme="minorHAnsi" w:cstheme="minorHAnsi"/>
              </w:rPr>
              <w:t>35</w:t>
            </w:r>
            <w:r w:rsidRPr="003E5862">
              <w:rPr>
                <w:rFonts w:asciiTheme="minorHAnsi" w:eastAsia="Times New Roman" w:hAnsiTheme="minorHAnsi" w:cstheme="minorHAnsi"/>
              </w:rPr>
              <w:t>%</w:t>
            </w:r>
          </w:p>
        </w:tc>
      </w:tr>
      <w:tr w:rsidR="005458FF" w:rsidRPr="003E5862" w14:paraId="33432763" w14:textId="77777777" w:rsidTr="007F4371">
        <w:tc>
          <w:tcPr>
            <w:tcW w:w="4560" w:type="dxa"/>
            <w:tcBorders>
              <w:top w:val="single" w:sz="4" w:space="0" w:color="000000"/>
              <w:bottom w:val="single" w:sz="24" w:space="0" w:color="000000"/>
            </w:tcBorders>
          </w:tcPr>
          <w:p w14:paraId="6BB8C735" w14:textId="77777777" w:rsidR="005458FF" w:rsidRPr="003E5862" w:rsidRDefault="005458FF" w:rsidP="007F4371">
            <w:pPr>
              <w:widowControl w:val="0"/>
              <w:rPr>
                <w:rFonts w:asciiTheme="minorHAnsi" w:eastAsia="Times New Roman" w:hAnsiTheme="minorHAnsi" w:cstheme="minorHAnsi"/>
              </w:rPr>
            </w:pPr>
            <w:r w:rsidRPr="003E5862">
              <w:rPr>
                <w:rFonts w:asciiTheme="minorHAnsi" w:eastAsia="Times New Roman" w:hAnsiTheme="minorHAnsi" w:cstheme="minorHAnsi"/>
              </w:rPr>
              <w:t>Active participation (including attendance (50%), class participation (30%) &amp; course evaluations (20%))</w:t>
            </w:r>
          </w:p>
        </w:tc>
        <w:tc>
          <w:tcPr>
            <w:tcW w:w="3132" w:type="dxa"/>
            <w:tcBorders>
              <w:top w:val="single" w:sz="4" w:space="0" w:color="000000"/>
              <w:bottom w:val="single" w:sz="24" w:space="0" w:color="000000"/>
            </w:tcBorders>
          </w:tcPr>
          <w:p w14:paraId="2ABF3304" w14:textId="77777777" w:rsidR="005458FF" w:rsidRPr="003E5862" w:rsidRDefault="005458FF" w:rsidP="007F4371">
            <w:pPr>
              <w:widowControl w:val="0"/>
              <w:jc w:val="both"/>
              <w:rPr>
                <w:rFonts w:asciiTheme="minorHAnsi" w:eastAsia="Times New Roman" w:hAnsiTheme="minorHAnsi" w:cstheme="minorHAnsi"/>
              </w:rPr>
            </w:pPr>
            <w:r w:rsidRPr="003E5862">
              <w:rPr>
                <w:rFonts w:asciiTheme="minorHAnsi" w:eastAsia="Times New Roman" w:hAnsiTheme="minorHAnsi" w:cstheme="minorHAnsi"/>
              </w:rPr>
              <w:t>All semester</w:t>
            </w:r>
          </w:p>
        </w:tc>
        <w:tc>
          <w:tcPr>
            <w:tcW w:w="1627" w:type="dxa"/>
            <w:tcBorders>
              <w:top w:val="single" w:sz="4" w:space="0" w:color="000000"/>
              <w:bottom w:val="single" w:sz="24" w:space="0" w:color="000000"/>
            </w:tcBorders>
          </w:tcPr>
          <w:p w14:paraId="0414F68D" w14:textId="77777777" w:rsidR="005458FF" w:rsidRPr="003E5862" w:rsidRDefault="005458FF" w:rsidP="007F4371">
            <w:pPr>
              <w:widowControl w:val="0"/>
              <w:jc w:val="right"/>
              <w:rPr>
                <w:rFonts w:asciiTheme="minorHAnsi" w:eastAsia="Times New Roman" w:hAnsiTheme="minorHAnsi" w:cstheme="minorHAnsi"/>
              </w:rPr>
            </w:pPr>
            <w:r w:rsidRPr="003E5862">
              <w:rPr>
                <w:rFonts w:asciiTheme="minorHAnsi" w:eastAsia="Times New Roman" w:hAnsiTheme="minorHAnsi" w:cstheme="minorHAnsi"/>
              </w:rPr>
              <w:t>5%</w:t>
            </w:r>
          </w:p>
        </w:tc>
      </w:tr>
      <w:tr w:rsidR="005458FF" w:rsidRPr="003E5862" w14:paraId="1297AF32" w14:textId="77777777" w:rsidTr="007F4371">
        <w:tc>
          <w:tcPr>
            <w:tcW w:w="4560" w:type="dxa"/>
            <w:tcBorders>
              <w:top w:val="single" w:sz="24" w:space="0" w:color="000000"/>
              <w:bottom w:val="single" w:sz="24" w:space="0" w:color="000000"/>
            </w:tcBorders>
          </w:tcPr>
          <w:p w14:paraId="324AC23B" w14:textId="77777777" w:rsidR="005458FF" w:rsidRPr="003E5862" w:rsidRDefault="005458FF" w:rsidP="007F4371">
            <w:pPr>
              <w:widowControl w:val="0"/>
              <w:rPr>
                <w:rFonts w:asciiTheme="minorHAnsi" w:eastAsia="Times New Roman" w:hAnsiTheme="minorHAnsi" w:cstheme="minorHAnsi"/>
                <w:b/>
                <w:bCs/>
              </w:rPr>
            </w:pPr>
            <w:r w:rsidRPr="003E5862">
              <w:rPr>
                <w:rFonts w:asciiTheme="minorHAnsi" w:eastAsia="Times New Roman" w:hAnsiTheme="minorHAnsi" w:cstheme="minorHAnsi"/>
                <w:b/>
                <w:bCs/>
              </w:rPr>
              <w:t>TOTAL</w:t>
            </w:r>
          </w:p>
        </w:tc>
        <w:tc>
          <w:tcPr>
            <w:tcW w:w="3132" w:type="dxa"/>
            <w:tcBorders>
              <w:top w:val="single" w:sz="24" w:space="0" w:color="000000"/>
              <w:bottom w:val="single" w:sz="24" w:space="0" w:color="000000"/>
            </w:tcBorders>
          </w:tcPr>
          <w:p w14:paraId="790A0CEC" w14:textId="77777777" w:rsidR="005458FF" w:rsidRPr="003E5862" w:rsidRDefault="005458FF" w:rsidP="007F4371">
            <w:pPr>
              <w:widowControl w:val="0"/>
              <w:jc w:val="both"/>
              <w:rPr>
                <w:rFonts w:asciiTheme="minorHAnsi" w:eastAsia="Times New Roman" w:hAnsiTheme="minorHAnsi" w:cstheme="minorHAnsi"/>
                <w:b/>
                <w:bCs/>
              </w:rPr>
            </w:pPr>
          </w:p>
        </w:tc>
        <w:tc>
          <w:tcPr>
            <w:tcW w:w="1627" w:type="dxa"/>
            <w:tcBorders>
              <w:top w:val="single" w:sz="24" w:space="0" w:color="000000"/>
              <w:bottom w:val="single" w:sz="24" w:space="0" w:color="000000"/>
            </w:tcBorders>
          </w:tcPr>
          <w:p w14:paraId="119EC27B" w14:textId="77777777" w:rsidR="005458FF" w:rsidRPr="003E5862" w:rsidRDefault="005458FF" w:rsidP="007F4371">
            <w:pPr>
              <w:widowControl w:val="0"/>
              <w:jc w:val="right"/>
              <w:rPr>
                <w:rFonts w:asciiTheme="minorHAnsi" w:eastAsia="Times New Roman" w:hAnsiTheme="minorHAnsi" w:cstheme="minorHAnsi"/>
                <w:b/>
                <w:bCs/>
              </w:rPr>
            </w:pPr>
            <w:r w:rsidRPr="003E5862">
              <w:rPr>
                <w:rFonts w:asciiTheme="minorHAnsi" w:eastAsia="Times New Roman" w:hAnsiTheme="minorHAnsi" w:cstheme="minorHAnsi"/>
                <w:b/>
                <w:bCs/>
              </w:rPr>
              <w:t>100%</w:t>
            </w:r>
          </w:p>
        </w:tc>
      </w:tr>
    </w:tbl>
    <w:p w14:paraId="169C7E4C" w14:textId="3AB6E38B" w:rsidR="005458FF" w:rsidRPr="003E5862" w:rsidRDefault="005458FF" w:rsidP="00B361F3">
      <w:pPr>
        <w:pStyle w:val="NoSpacing"/>
        <w:rPr>
          <w:rFonts w:cstheme="minorHAnsi"/>
        </w:rPr>
      </w:pPr>
      <w:r w:rsidRPr="003E5862">
        <w:rPr>
          <w:rFonts w:eastAsia="Times New Roman" w:cstheme="minorHAnsi"/>
          <w:vertAlign w:val="superscript"/>
        </w:rPr>
        <w:t>*</w:t>
      </w:r>
      <w:r w:rsidRPr="003E5862">
        <w:rPr>
          <w:rFonts w:cstheme="minorHAnsi"/>
        </w:rPr>
        <w:t xml:space="preserve">at the beginning of class; </w:t>
      </w:r>
      <w:r w:rsidRPr="003E5862">
        <w:rPr>
          <w:rFonts w:eastAsia="Times New Roman" w:cstheme="minorHAnsi"/>
          <w:vertAlign w:val="superscript"/>
        </w:rPr>
        <w:t>**</w:t>
      </w:r>
      <w:r w:rsidRPr="003E5862">
        <w:rPr>
          <w:rFonts w:cstheme="minorHAnsi"/>
        </w:rPr>
        <w:t>by 5 pm</w:t>
      </w:r>
    </w:p>
    <w:p w14:paraId="791CC4F4" w14:textId="77777777" w:rsidR="00464C6B" w:rsidRPr="002B6DF9" w:rsidRDefault="00464C6B" w:rsidP="00464C6B">
      <w:pPr>
        <w:pStyle w:val="ListParagraph"/>
        <w:spacing w:after="0" w:line="240" w:lineRule="auto"/>
        <w:rPr>
          <w:rFonts w:cs="Arial"/>
          <w:b/>
          <w:u w:val="single"/>
        </w:rPr>
      </w:pPr>
    </w:p>
    <w:p w14:paraId="56E956AF" w14:textId="77777777" w:rsidR="00086933" w:rsidRPr="002B6DF9" w:rsidRDefault="007E587C" w:rsidP="00464C6B">
      <w:pPr>
        <w:spacing w:after="0" w:line="240" w:lineRule="auto"/>
        <w:rPr>
          <w:rFonts w:cs="Arial"/>
        </w:rPr>
      </w:pPr>
      <w:r w:rsidRPr="002B6DF9">
        <w:rPr>
          <w:rFonts w:cs="Arial"/>
          <w:u w:val="single"/>
        </w:rPr>
        <w:t>Grading Scale</w:t>
      </w:r>
      <w:r w:rsidRPr="002B6DF9">
        <w:rPr>
          <w:rFonts w:cs="Arial"/>
        </w:rPr>
        <w:t xml:space="preserve"> </w:t>
      </w:r>
    </w:p>
    <w:p w14:paraId="52A10379" w14:textId="50AF52E9" w:rsidR="007E587C" w:rsidRPr="002B6DF9" w:rsidRDefault="007E587C" w:rsidP="00464C6B">
      <w:pPr>
        <w:spacing w:after="0" w:line="240" w:lineRule="auto"/>
        <w:rPr>
          <w:rFonts w:cs="Arial"/>
        </w:rPr>
      </w:pPr>
      <w:r w:rsidRPr="002B6DF9">
        <w:rPr>
          <w:rFonts w:cs="Arial"/>
        </w:rPr>
        <w:t>A+: 97-100; A: 93-96; A-: 90-92; B+: 87-89; B: 83-86; B-: 80-82; C+: 77-79; C: 73-76; C-: 70-72</w:t>
      </w:r>
    </w:p>
    <w:p w14:paraId="68C4199C" w14:textId="77777777" w:rsidR="00464C6B" w:rsidRDefault="00464C6B" w:rsidP="00464C6B">
      <w:pPr>
        <w:spacing w:after="0" w:line="240" w:lineRule="auto"/>
        <w:rPr>
          <w:rStyle w:val="apple-converted-space"/>
        </w:rPr>
      </w:pPr>
    </w:p>
    <w:p w14:paraId="7EA24105" w14:textId="77777777" w:rsidR="004460EF" w:rsidRDefault="004460EF" w:rsidP="00464C6B">
      <w:pPr>
        <w:spacing w:after="0" w:line="240" w:lineRule="auto"/>
        <w:rPr>
          <w:rStyle w:val="apple-converted-space"/>
        </w:rPr>
      </w:pPr>
    </w:p>
    <w:p w14:paraId="31A55766" w14:textId="77777777" w:rsidR="004460EF" w:rsidRDefault="004460EF" w:rsidP="00464C6B">
      <w:pPr>
        <w:spacing w:after="0" w:line="240" w:lineRule="auto"/>
        <w:rPr>
          <w:rStyle w:val="apple-converted-space"/>
        </w:rPr>
      </w:pPr>
    </w:p>
    <w:p w14:paraId="553A22C6" w14:textId="77777777" w:rsidR="00433309" w:rsidRDefault="007E587C" w:rsidP="00464C6B">
      <w:pPr>
        <w:spacing w:after="0" w:line="240" w:lineRule="auto"/>
        <w:rPr>
          <w:rFonts w:cs="Arial"/>
          <w:b/>
          <w:u w:val="single"/>
        </w:rPr>
      </w:pPr>
      <w:r w:rsidRPr="002B6DF9">
        <w:rPr>
          <w:rFonts w:cs="Arial"/>
          <w:b/>
          <w:u w:val="single"/>
        </w:rPr>
        <w:t>ATTENDANCE AND PARTICIPATION</w:t>
      </w:r>
    </w:p>
    <w:p w14:paraId="21C1CFCD" w14:textId="3254F1AD" w:rsidR="007E587C" w:rsidRPr="00433309" w:rsidRDefault="007E587C" w:rsidP="00464C6B">
      <w:pPr>
        <w:spacing w:after="0" w:line="240" w:lineRule="auto"/>
        <w:rPr>
          <w:rFonts w:cs="Arial"/>
          <w:b/>
          <w:u w:val="single"/>
        </w:rPr>
      </w:pPr>
      <w:r w:rsidRPr="002B6DF9">
        <w:rPr>
          <w:rFonts w:cs="Arial"/>
        </w:rPr>
        <w:t>Class attendance is required. As a courtesy to other students, you are expected to arrive on time. More than two unexcused absences from class may result in a lowered grade. Readings assigned for each class should be read ahead of the class and students should be prepared to discuss the material from readings.</w:t>
      </w:r>
    </w:p>
    <w:p w14:paraId="0C3324A7" w14:textId="77777777" w:rsidR="004460EF" w:rsidRDefault="004460EF" w:rsidP="00464C6B">
      <w:pPr>
        <w:spacing w:after="0" w:line="240" w:lineRule="auto"/>
        <w:rPr>
          <w:rFonts w:cs="Arial"/>
          <w:b/>
          <w:u w:val="single"/>
        </w:rPr>
      </w:pPr>
    </w:p>
    <w:p w14:paraId="2111E227" w14:textId="77777777" w:rsidR="004460EF" w:rsidRDefault="004460EF" w:rsidP="00464C6B">
      <w:pPr>
        <w:spacing w:after="0" w:line="240" w:lineRule="auto"/>
        <w:rPr>
          <w:rFonts w:cs="Arial"/>
          <w:b/>
          <w:u w:val="single"/>
        </w:rPr>
      </w:pPr>
    </w:p>
    <w:p w14:paraId="461DB095" w14:textId="77777777" w:rsidR="004460EF" w:rsidRDefault="004460EF" w:rsidP="00464C6B">
      <w:pPr>
        <w:spacing w:after="0" w:line="240" w:lineRule="auto"/>
        <w:rPr>
          <w:rFonts w:cs="Arial"/>
          <w:b/>
          <w:u w:val="single"/>
        </w:rPr>
      </w:pPr>
    </w:p>
    <w:p w14:paraId="234DAE3C" w14:textId="02DDE033" w:rsidR="007E587C" w:rsidRPr="002B6DF9" w:rsidRDefault="007E587C" w:rsidP="00464C6B">
      <w:pPr>
        <w:spacing w:after="0" w:line="240" w:lineRule="auto"/>
        <w:rPr>
          <w:rFonts w:cs="Arial"/>
          <w:b/>
          <w:u w:val="single"/>
        </w:rPr>
      </w:pPr>
      <w:r w:rsidRPr="002B6DF9">
        <w:rPr>
          <w:rFonts w:cs="Arial"/>
          <w:b/>
          <w:u w:val="single"/>
        </w:rPr>
        <w:t>POLICY ON LATE ASSIGNMENTS</w:t>
      </w:r>
    </w:p>
    <w:p w14:paraId="5D759CB4" w14:textId="76220790" w:rsidR="007E587C" w:rsidRPr="002B6DF9" w:rsidRDefault="007E587C" w:rsidP="00464C6B">
      <w:pPr>
        <w:spacing w:after="0" w:line="240" w:lineRule="auto"/>
        <w:rPr>
          <w:rFonts w:cs="Arial"/>
          <w:b/>
        </w:rPr>
      </w:pPr>
      <w:r w:rsidRPr="002B6DF9">
        <w:rPr>
          <w:rFonts w:cs="Arial"/>
        </w:rPr>
        <w:t>Late assignments will result in a deduction of one grade point (A+ down to A) for each day late (including weekends) unless prior approval is obtained from the instructor or a compelling situation prevents prior approval (i.e. documented health issues or family emergencies).</w:t>
      </w:r>
    </w:p>
    <w:p w14:paraId="65E15983" w14:textId="14EEB981" w:rsidR="00F82AF0" w:rsidRPr="002B6DF9" w:rsidRDefault="00F82AF0" w:rsidP="00464C6B">
      <w:pPr>
        <w:spacing w:after="0" w:line="240" w:lineRule="auto"/>
        <w:rPr>
          <w:rFonts w:cs="Arial"/>
        </w:rPr>
      </w:pPr>
    </w:p>
    <w:p w14:paraId="254F4D74" w14:textId="38D357F9" w:rsidR="007E587C" w:rsidRPr="002B6DF9" w:rsidRDefault="007E587C" w:rsidP="00464C6B">
      <w:pPr>
        <w:spacing w:after="0" w:line="240" w:lineRule="auto"/>
        <w:rPr>
          <w:rFonts w:cs="Arial"/>
          <w:b/>
          <w:u w:val="single"/>
        </w:rPr>
      </w:pPr>
      <w:r w:rsidRPr="002B6DF9">
        <w:rPr>
          <w:rFonts w:cs="Arial"/>
          <w:b/>
          <w:u w:val="single"/>
        </w:rPr>
        <w:t>ASSIGNMENTS &amp; DUE DATES</w:t>
      </w:r>
    </w:p>
    <w:p w14:paraId="7BE7DC7F" w14:textId="77777777" w:rsidR="0030515E" w:rsidRPr="002B6DF9" w:rsidRDefault="0030515E" w:rsidP="00464C6B">
      <w:pPr>
        <w:spacing w:after="0" w:line="240" w:lineRule="auto"/>
        <w:jc w:val="center"/>
        <w:rPr>
          <w:rFonts w:cs="Arial"/>
          <w:b/>
        </w:rPr>
      </w:pPr>
    </w:p>
    <w:tbl>
      <w:tblPr>
        <w:tblW w:w="10980" w:type="dxa"/>
        <w:jc w:val="center"/>
        <w:tblLook w:val="04A0" w:firstRow="1" w:lastRow="0" w:firstColumn="1" w:lastColumn="0" w:noHBand="0" w:noVBand="1"/>
      </w:tblPr>
      <w:tblGrid>
        <w:gridCol w:w="695"/>
        <w:gridCol w:w="928"/>
        <w:gridCol w:w="1952"/>
        <w:gridCol w:w="1258"/>
        <w:gridCol w:w="6147"/>
      </w:tblGrid>
      <w:tr w:rsidR="004F68DA" w:rsidRPr="002B6DF9" w14:paraId="1BB02722" w14:textId="7767E961" w:rsidTr="00B361F3">
        <w:trPr>
          <w:trHeight w:val="690"/>
          <w:jc w:val="center"/>
        </w:trPr>
        <w:tc>
          <w:tcPr>
            <w:tcW w:w="695" w:type="dxa"/>
            <w:tcBorders>
              <w:top w:val="single" w:sz="12" w:space="0" w:color="000000"/>
              <w:bottom w:val="single" w:sz="12" w:space="0" w:color="000000"/>
            </w:tcBorders>
            <w:vAlign w:val="center"/>
          </w:tcPr>
          <w:p w14:paraId="4B954407" w14:textId="77777777" w:rsidR="004F68DA" w:rsidRPr="002B6DF9" w:rsidRDefault="004F68DA" w:rsidP="00375C64">
            <w:pPr>
              <w:spacing w:after="0" w:line="240" w:lineRule="auto"/>
              <w:jc w:val="center"/>
              <w:rPr>
                <w:rFonts w:cs="Arial"/>
                <w:b/>
                <w:sz w:val="20"/>
              </w:rPr>
            </w:pPr>
            <w:r w:rsidRPr="002B6DF9">
              <w:rPr>
                <w:rFonts w:cs="Arial"/>
                <w:b/>
                <w:sz w:val="20"/>
              </w:rPr>
              <w:t>Week</w:t>
            </w:r>
          </w:p>
        </w:tc>
        <w:tc>
          <w:tcPr>
            <w:tcW w:w="928" w:type="dxa"/>
            <w:tcBorders>
              <w:top w:val="single" w:sz="12" w:space="0" w:color="000000"/>
              <w:bottom w:val="single" w:sz="12" w:space="0" w:color="000000"/>
            </w:tcBorders>
          </w:tcPr>
          <w:p w14:paraId="385F997C" w14:textId="77777777" w:rsidR="004F68DA" w:rsidRPr="002B6DF9" w:rsidRDefault="004F68DA" w:rsidP="00E65206">
            <w:pPr>
              <w:spacing w:before="240" w:after="0" w:line="240" w:lineRule="auto"/>
              <w:jc w:val="center"/>
              <w:rPr>
                <w:rFonts w:cs="Arial"/>
                <w:b/>
                <w:sz w:val="20"/>
              </w:rPr>
            </w:pPr>
            <w:r w:rsidRPr="002B6DF9">
              <w:rPr>
                <w:rFonts w:cs="Arial"/>
                <w:b/>
                <w:sz w:val="20"/>
              </w:rPr>
              <w:t>Date</w:t>
            </w:r>
          </w:p>
        </w:tc>
        <w:tc>
          <w:tcPr>
            <w:tcW w:w="1952" w:type="dxa"/>
            <w:tcBorders>
              <w:top w:val="single" w:sz="12" w:space="0" w:color="000000"/>
              <w:bottom w:val="single" w:sz="12" w:space="0" w:color="000000"/>
            </w:tcBorders>
            <w:vAlign w:val="center"/>
          </w:tcPr>
          <w:p w14:paraId="468FF4D3" w14:textId="77777777" w:rsidR="004F68DA" w:rsidRPr="002B6DF9" w:rsidRDefault="004F68DA" w:rsidP="00375C64">
            <w:pPr>
              <w:spacing w:after="0" w:line="240" w:lineRule="auto"/>
              <w:jc w:val="center"/>
              <w:rPr>
                <w:rFonts w:cs="Arial"/>
                <w:b/>
                <w:sz w:val="20"/>
              </w:rPr>
            </w:pPr>
            <w:r w:rsidRPr="002B6DF9">
              <w:rPr>
                <w:rFonts w:cs="Arial"/>
                <w:b/>
                <w:sz w:val="20"/>
              </w:rPr>
              <w:t>Topic</w:t>
            </w:r>
          </w:p>
        </w:tc>
        <w:tc>
          <w:tcPr>
            <w:tcW w:w="1258" w:type="dxa"/>
            <w:tcBorders>
              <w:top w:val="single" w:sz="12" w:space="0" w:color="000000"/>
              <w:bottom w:val="single" w:sz="12" w:space="0" w:color="000000"/>
            </w:tcBorders>
          </w:tcPr>
          <w:p w14:paraId="3A815085" w14:textId="7F27319D" w:rsidR="00375C64" w:rsidRPr="002B6DF9" w:rsidRDefault="004F68DA" w:rsidP="00375C64">
            <w:pPr>
              <w:spacing w:after="0" w:line="240" w:lineRule="auto"/>
              <w:jc w:val="center"/>
              <w:rPr>
                <w:rFonts w:cs="Arial"/>
                <w:b/>
                <w:sz w:val="20"/>
              </w:rPr>
            </w:pPr>
            <w:r w:rsidRPr="002B6DF9">
              <w:rPr>
                <w:rFonts w:cs="Arial"/>
                <w:b/>
                <w:sz w:val="20"/>
              </w:rPr>
              <w:t>Assignment</w:t>
            </w:r>
          </w:p>
          <w:p w14:paraId="431072D4" w14:textId="0DFAD2FD" w:rsidR="004F68DA" w:rsidRPr="002B6DF9" w:rsidRDefault="004F68DA" w:rsidP="00375C64">
            <w:pPr>
              <w:spacing w:after="0" w:line="240" w:lineRule="auto"/>
              <w:jc w:val="center"/>
              <w:rPr>
                <w:rFonts w:cs="Arial"/>
                <w:b/>
                <w:sz w:val="20"/>
              </w:rPr>
            </w:pPr>
            <w:r w:rsidRPr="002B6DF9">
              <w:rPr>
                <w:rFonts w:cs="Arial"/>
                <w:b/>
                <w:sz w:val="20"/>
              </w:rPr>
              <w:t>Due</w:t>
            </w:r>
          </w:p>
        </w:tc>
        <w:tc>
          <w:tcPr>
            <w:tcW w:w="6147" w:type="dxa"/>
            <w:tcBorders>
              <w:top w:val="single" w:sz="12" w:space="0" w:color="000000"/>
              <w:bottom w:val="single" w:sz="12" w:space="0" w:color="000000"/>
            </w:tcBorders>
          </w:tcPr>
          <w:p w14:paraId="68711E2E" w14:textId="3F15D16F" w:rsidR="004F68DA" w:rsidRPr="002B6DF9" w:rsidRDefault="004F68DA" w:rsidP="00E65206">
            <w:pPr>
              <w:spacing w:before="240" w:after="0" w:line="240" w:lineRule="auto"/>
              <w:jc w:val="center"/>
              <w:rPr>
                <w:rFonts w:cs="Arial"/>
                <w:b/>
                <w:sz w:val="20"/>
              </w:rPr>
            </w:pPr>
            <w:r w:rsidRPr="002B6DF9">
              <w:rPr>
                <w:rFonts w:cs="Arial"/>
                <w:b/>
                <w:sz w:val="20"/>
              </w:rPr>
              <w:t>Readings</w:t>
            </w:r>
          </w:p>
        </w:tc>
      </w:tr>
      <w:tr w:rsidR="004F68DA" w:rsidRPr="00774157" w14:paraId="52F7CA6B" w14:textId="569FB2EF" w:rsidTr="00B361F3">
        <w:trPr>
          <w:trHeight w:val="1410"/>
          <w:jc w:val="center"/>
        </w:trPr>
        <w:tc>
          <w:tcPr>
            <w:tcW w:w="695" w:type="dxa"/>
            <w:tcBorders>
              <w:top w:val="single" w:sz="12" w:space="0" w:color="000000"/>
              <w:bottom w:val="single" w:sz="2" w:space="0" w:color="000000"/>
            </w:tcBorders>
            <w:vAlign w:val="center"/>
          </w:tcPr>
          <w:p w14:paraId="4FDA0D15" w14:textId="77777777" w:rsidR="004F68DA" w:rsidRPr="00BE3EE4" w:rsidRDefault="004F68DA" w:rsidP="00375C64">
            <w:pPr>
              <w:spacing w:after="0" w:line="240" w:lineRule="auto"/>
              <w:rPr>
                <w:rFonts w:cs="Arial"/>
                <w:b/>
                <w:sz w:val="20"/>
                <w:szCs w:val="20"/>
              </w:rPr>
            </w:pPr>
            <w:r w:rsidRPr="00BE3EE4">
              <w:rPr>
                <w:rFonts w:cs="Arial"/>
                <w:b/>
                <w:sz w:val="20"/>
                <w:szCs w:val="20"/>
              </w:rPr>
              <w:t>Class 1</w:t>
            </w:r>
          </w:p>
        </w:tc>
        <w:tc>
          <w:tcPr>
            <w:tcW w:w="928" w:type="dxa"/>
            <w:tcBorders>
              <w:top w:val="single" w:sz="12" w:space="0" w:color="000000"/>
              <w:bottom w:val="single" w:sz="2" w:space="0" w:color="000000"/>
            </w:tcBorders>
            <w:vAlign w:val="center"/>
          </w:tcPr>
          <w:p w14:paraId="0E77F13B" w14:textId="238CBC56" w:rsidR="004F68DA" w:rsidRPr="00B361F3" w:rsidRDefault="00167FA1">
            <w:pPr>
              <w:spacing w:after="0" w:line="240" w:lineRule="auto"/>
              <w:rPr>
                <w:rFonts w:cs="Arial"/>
                <w:sz w:val="20"/>
                <w:szCs w:val="20"/>
              </w:rPr>
            </w:pPr>
            <w:r w:rsidRPr="00B361F3">
              <w:rPr>
                <w:rFonts w:cs="Arial"/>
                <w:sz w:val="20"/>
                <w:szCs w:val="20"/>
              </w:rPr>
              <w:t>Jan</w:t>
            </w:r>
            <w:r w:rsidR="00464C6B" w:rsidRPr="00B361F3">
              <w:rPr>
                <w:rFonts w:cs="Arial"/>
                <w:sz w:val="20"/>
                <w:szCs w:val="20"/>
              </w:rPr>
              <w:t>.</w:t>
            </w:r>
            <w:r w:rsidR="004F68DA" w:rsidRPr="00B361F3">
              <w:rPr>
                <w:rFonts w:cs="Arial"/>
                <w:sz w:val="20"/>
                <w:szCs w:val="20"/>
              </w:rPr>
              <w:t xml:space="preserve"> </w:t>
            </w:r>
            <w:r w:rsidRPr="00B361F3">
              <w:rPr>
                <w:rFonts w:cs="Arial"/>
                <w:sz w:val="20"/>
                <w:szCs w:val="20"/>
              </w:rPr>
              <w:t>15</w:t>
            </w:r>
            <w:r w:rsidR="004F68DA" w:rsidRPr="00B361F3">
              <w:rPr>
                <w:rFonts w:cs="Arial"/>
                <w:sz w:val="20"/>
                <w:szCs w:val="20"/>
              </w:rPr>
              <w:t xml:space="preserve"> </w:t>
            </w:r>
          </w:p>
        </w:tc>
        <w:tc>
          <w:tcPr>
            <w:tcW w:w="1952" w:type="dxa"/>
            <w:tcBorders>
              <w:top w:val="single" w:sz="12" w:space="0" w:color="000000"/>
              <w:bottom w:val="single" w:sz="2" w:space="0" w:color="000000"/>
            </w:tcBorders>
            <w:vAlign w:val="center"/>
          </w:tcPr>
          <w:p w14:paraId="288D52EF" w14:textId="77777777" w:rsidR="00C32E41" w:rsidRPr="00B361F3" w:rsidRDefault="00C32E41" w:rsidP="00F32131">
            <w:pPr>
              <w:pStyle w:val="NoSpacing"/>
              <w:rPr>
                <w:rFonts w:cstheme="minorHAnsi"/>
                <w:sz w:val="20"/>
                <w:szCs w:val="20"/>
              </w:rPr>
            </w:pPr>
            <w:r w:rsidRPr="00B361F3">
              <w:rPr>
                <w:rFonts w:cstheme="minorHAnsi"/>
                <w:sz w:val="20"/>
                <w:szCs w:val="20"/>
              </w:rPr>
              <w:t>Rationale for D&amp;I research, overview of the field, continuum of translational research, language</w:t>
            </w:r>
          </w:p>
          <w:p w14:paraId="50B36AEC" w14:textId="77777777" w:rsidR="00C32E41" w:rsidRPr="00B361F3" w:rsidRDefault="00C32E41" w:rsidP="00B361F3">
            <w:pPr>
              <w:pStyle w:val="NoSpacing"/>
              <w:rPr>
                <w:rFonts w:cstheme="minorHAnsi"/>
                <w:sz w:val="20"/>
                <w:szCs w:val="20"/>
              </w:rPr>
            </w:pPr>
          </w:p>
          <w:p w14:paraId="71B54A7E" w14:textId="3D94818B" w:rsidR="004F68DA" w:rsidRPr="00B361F3" w:rsidRDefault="00C32E41" w:rsidP="00B361F3">
            <w:pPr>
              <w:spacing w:after="0" w:line="240" w:lineRule="auto"/>
              <w:rPr>
                <w:rFonts w:cs="Arial"/>
                <w:sz w:val="20"/>
                <w:szCs w:val="20"/>
              </w:rPr>
            </w:pPr>
            <w:r w:rsidRPr="00B361F3">
              <w:rPr>
                <w:rFonts w:cstheme="minorHAnsi"/>
                <w:sz w:val="20"/>
                <w:szCs w:val="20"/>
              </w:rPr>
              <w:t>Initial introduction for final project</w:t>
            </w:r>
          </w:p>
        </w:tc>
        <w:tc>
          <w:tcPr>
            <w:tcW w:w="1258" w:type="dxa"/>
            <w:tcBorders>
              <w:top w:val="single" w:sz="12" w:space="0" w:color="000000"/>
              <w:bottom w:val="single" w:sz="2" w:space="0" w:color="000000"/>
            </w:tcBorders>
            <w:vAlign w:val="center"/>
          </w:tcPr>
          <w:p w14:paraId="752C7CBE" w14:textId="77777777" w:rsidR="004F68DA" w:rsidRPr="00B361F3" w:rsidRDefault="004F68DA" w:rsidP="00B361F3">
            <w:pPr>
              <w:spacing w:after="0" w:line="240" w:lineRule="auto"/>
              <w:rPr>
                <w:rFonts w:cs="Arial"/>
                <w:sz w:val="20"/>
                <w:szCs w:val="20"/>
              </w:rPr>
            </w:pPr>
          </w:p>
        </w:tc>
        <w:tc>
          <w:tcPr>
            <w:tcW w:w="6147" w:type="dxa"/>
            <w:tcBorders>
              <w:top w:val="single" w:sz="12" w:space="0" w:color="000000"/>
              <w:bottom w:val="single" w:sz="2" w:space="0" w:color="000000"/>
            </w:tcBorders>
            <w:vAlign w:val="center"/>
          </w:tcPr>
          <w:p w14:paraId="57C7937C" w14:textId="77777777" w:rsidR="00C32E41" w:rsidRPr="00B361F3" w:rsidRDefault="00C32E41" w:rsidP="00B361F3">
            <w:pPr>
              <w:pStyle w:val="NoSpacing"/>
              <w:ind w:left="252" w:hanging="252"/>
              <w:rPr>
                <w:rFonts w:cstheme="minorHAnsi"/>
                <w:b/>
                <w:sz w:val="18"/>
                <w:szCs w:val="18"/>
              </w:rPr>
            </w:pPr>
            <w:r w:rsidRPr="00B361F3">
              <w:rPr>
                <w:rFonts w:cstheme="minorHAnsi"/>
                <w:b/>
                <w:sz w:val="18"/>
                <w:szCs w:val="18"/>
              </w:rPr>
              <w:t>Core:</w:t>
            </w:r>
          </w:p>
          <w:p w14:paraId="1E71D391" w14:textId="77777777" w:rsidR="00C32E41" w:rsidRPr="00B361F3" w:rsidRDefault="00C32E41" w:rsidP="00B361F3">
            <w:pPr>
              <w:pStyle w:val="NoSpacing"/>
              <w:ind w:left="252" w:hanging="252"/>
              <w:rPr>
                <w:rFonts w:cstheme="minorHAnsi"/>
                <w:sz w:val="18"/>
                <w:szCs w:val="18"/>
              </w:rPr>
            </w:pPr>
            <w:r w:rsidRPr="00B361F3">
              <w:rPr>
                <w:rFonts w:cstheme="minorHAnsi"/>
                <w:sz w:val="18"/>
                <w:szCs w:val="18"/>
              </w:rPr>
              <w:t>Ch. 1: Colditz GA. The promise and challenges of dissemination and implementation research</w:t>
            </w:r>
          </w:p>
          <w:p w14:paraId="0FCE1B26" w14:textId="77777777" w:rsidR="00C32E41" w:rsidRPr="00B361F3" w:rsidRDefault="00C32E41" w:rsidP="000F5001">
            <w:pPr>
              <w:pStyle w:val="NoSpacing"/>
              <w:ind w:left="252" w:hanging="252"/>
              <w:rPr>
                <w:rFonts w:cstheme="minorHAnsi"/>
                <w:sz w:val="18"/>
                <w:szCs w:val="18"/>
              </w:rPr>
            </w:pPr>
            <w:r w:rsidRPr="00B361F3">
              <w:rPr>
                <w:rFonts w:cstheme="minorHAnsi"/>
                <w:sz w:val="18"/>
                <w:szCs w:val="18"/>
              </w:rPr>
              <w:t>Ch. 2: Rabin B. Developing the terminology for dissemination and implementation research</w:t>
            </w:r>
          </w:p>
          <w:p w14:paraId="70F4407E" w14:textId="77777777" w:rsidR="00C32E41" w:rsidRPr="00B361F3" w:rsidRDefault="00C32E41" w:rsidP="000F5001">
            <w:pPr>
              <w:pStyle w:val="NoSpacing"/>
              <w:ind w:left="252" w:hanging="252"/>
              <w:rPr>
                <w:rFonts w:cstheme="minorHAnsi"/>
                <w:sz w:val="18"/>
                <w:szCs w:val="18"/>
              </w:rPr>
            </w:pPr>
            <w:proofErr w:type="spellStart"/>
            <w:r w:rsidRPr="00B361F3">
              <w:rPr>
                <w:rFonts w:eastAsia="Times New Roman" w:cstheme="minorHAnsi"/>
                <w:sz w:val="18"/>
                <w:szCs w:val="18"/>
              </w:rPr>
              <w:t>Lobb</w:t>
            </w:r>
            <w:proofErr w:type="spellEnd"/>
            <w:r w:rsidRPr="00B361F3">
              <w:rPr>
                <w:rFonts w:eastAsia="Times New Roman" w:cstheme="minorHAnsi"/>
                <w:sz w:val="18"/>
                <w:szCs w:val="18"/>
              </w:rPr>
              <w:t xml:space="preserve"> R &amp; Colditz GA. 2013. Implementation Science and its Application to Population Health. </w:t>
            </w:r>
            <w:proofErr w:type="spellStart"/>
            <w:r w:rsidRPr="00B361F3">
              <w:rPr>
                <w:rFonts w:eastAsia="Times New Roman" w:cstheme="minorHAnsi"/>
                <w:sz w:val="18"/>
                <w:szCs w:val="18"/>
              </w:rPr>
              <w:t>Annu</w:t>
            </w:r>
            <w:proofErr w:type="spellEnd"/>
            <w:r w:rsidRPr="00B361F3">
              <w:rPr>
                <w:rFonts w:eastAsia="Times New Roman" w:cstheme="minorHAnsi"/>
                <w:sz w:val="18"/>
                <w:szCs w:val="18"/>
              </w:rPr>
              <w:t xml:space="preserve"> Rev Public Health;34:20.1-20.17</w:t>
            </w:r>
          </w:p>
          <w:p w14:paraId="655B0ABF" w14:textId="77777777" w:rsidR="00C32E41" w:rsidRPr="00B361F3" w:rsidRDefault="00C32E41" w:rsidP="000F5001">
            <w:pPr>
              <w:pStyle w:val="NoSpacing"/>
              <w:ind w:left="252" w:hanging="252"/>
              <w:rPr>
                <w:rFonts w:cstheme="minorHAnsi"/>
                <w:b/>
                <w:sz w:val="18"/>
                <w:szCs w:val="18"/>
              </w:rPr>
            </w:pPr>
            <w:r w:rsidRPr="00B361F3">
              <w:rPr>
                <w:rFonts w:cstheme="minorHAnsi"/>
                <w:b/>
                <w:sz w:val="18"/>
                <w:szCs w:val="18"/>
              </w:rPr>
              <w:t>Additional:</w:t>
            </w:r>
          </w:p>
          <w:p w14:paraId="70B82DA8" w14:textId="77777777" w:rsidR="00C32E41" w:rsidRPr="00B361F3" w:rsidRDefault="00C32E41" w:rsidP="000F5001">
            <w:pPr>
              <w:pStyle w:val="NoSpacing"/>
              <w:ind w:left="180" w:hanging="180"/>
              <w:rPr>
                <w:rFonts w:cstheme="minorHAnsi"/>
                <w:sz w:val="18"/>
                <w:szCs w:val="18"/>
              </w:rPr>
            </w:pPr>
            <w:proofErr w:type="spellStart"/>
            <w:r w:rsidRPr="00B361F3">
              <w:rPr>
                <w:rFonts w:cstheme="minorHAnsi"/>
                <w:sz w:val="18"/>
                <w:szCs w:val="18"/>
              </w:rPr>
              <w:t>Geng</w:t>
            </w:r>
            <w:proofErr w:type="spellEnd"/>
            <w:r w:rsidRPr="00B361F3">
              <w:rPr>
                <w:rFonts w:cstheme="minorHAnsi"/>
                <w:sz w:val="18"/>
                <w:szCs w:val="18"/>
              </w:rPr>
              <w:t xml:space="preserve"> EH, </w:t>
            </w:r>
            <w:proofErr w:type="spellStart"/>
            <w:r w:rsidRPr="00B361F3">
              <w:rPr>
                <w:rFonts w:cstheme="minorHAnsi"/>
                <w:sz w:val="18"/>
                <w:szCs w:val="18"/>
              </w:rPr>
              <w:t>Peiris</w:t>
            </w:r>
            <w:proofErr w:type="spellEnd"/>
            <w:r w:rsidRPr="00B361F3">
              <w:rPr>
                <w:rFonts w:cstheme="minorHAnsi"/>
                <w:sz w:val="18"/>
                <w:szCs w:val="18"/>
              </w:rPr>
              <w:t xml:space="preserve"> D, Kruk ME. Implementation science: Relevance in the real world without sacrificing rigor. </w:t>
            </w:r>
            <w:proofErr w:type="spellStart"/>
            <w:r w:rsidRPr="00B361F3">
              <w:rPr>
                <w:rFonts w:cstheme="minorHAnsi"/>
                <w:i/>
                <w:sz w:val="18"/>
                <w:szCs w:val="18"/>
              </w:rPr>
              <w:t>PLoS</w:t>
            </w:r>
            <w:proofErr w:type="spellEnd"/>
            <w:r w:rsidRPr="00B361F3">
              <w:rPr>
                <w:rFonts w:cstheme="minorHAnsi"/>
                <w:i/>
                <w:sz w:val="18"/>
                <w:szCs w:val="18"/>
              </w:rPr>
              <w:t xml:space="preserve"> Med. </w:t>
            </w:r>
            <w:r w:rsidRPr="00B361F3">
              <w:rPr>
                <w:rFonts w:cstheme="minorHAnsi"/>
                <w:sz w:val="18"/>
                <w:szCs w:val="18"/>
              </w:rPr>
              <w:t>Apr 2017;14(4):e1002288</w:t>
            </w:r>
          </w:p>
          <w:p w14:paraId="64BC71ED" w14:textId="77777777" w:rsidR="00C32E41" w:rsidRPr="00B361F3" w:rsidRDefault="00C32E41" w:rsidP="00B361F3">
            <w:pPr>
              <w:pStyle w:val="NoSpacing"/>
              <w:ind w:left="180" w:hanging="180"/>
              <w:rPr>
                <w:rFonts w:cstheme="minorHAnsi"/>
                <w:sz w:val="18"/>
                <w:szCs w:val="18"/>
              </w:rPr>
            </w:pPr>
            <w:r w:rsidRPr="00B361F3">
              <w:rPr>
                <w:rFonts w:cstheme="minorHAnsi"/>
                <w:sz w:val="18"/>
                <w:szCs w:val="18"/>
              </w:rPr>
              <w:t xml:space="preserve">Glasgow RE, Vinson C, Chambers D, </w:t>
            </w:r>
            <w:proofErr w:type="spellStart"/>
            <w:r w:rsidRPr="00B361F3">
              <w:rPr>
                <w:rFonts w:cstheme="minorHAnsi"/>
                <w:sz w:val="18"/>
                <w:szCs w:val="18"/>
              </w:rPr>
              <w:t>Khoury</w:t>
            </w:r>
            <w:proofErr w:type="spellEnd"/>
            <w:r w:rsidRPr="00B361F3">
              <w:rPr>
                <w:rFonts w:cstheme="minorHAnsi"/>
                <w:sz w:val="18"/>
                <w:szCs w:val="18"/>
              </w:rPr>
              <w:t xml:space="preserve"> MJ, Kaplan RM, Hunter C. National Institutes of Health approaches to dissemination and implementation science: Current and future directions. </w:t>
            </w:r>
            <w:r w:rsidRPr="00B361F3">
              <w:rPr>
                <w:rFonts w:cstheme="minorHAnsi"/>
                <w:i/>
                <w:sz w:val="18"/>
                <w:szCs w:val="18"/>
              </w:rPr>
              <w:t>Am J Public Health</w:t>
            </w:r>
            <w:r w:rsidRPr="00B361F3">
              <w:rPr>
                <w:rFonts w:cstheme="minorHAnsi"/>
                <w:sz w:val="18"/>
                <w:szCs w:val="18"/>
              </w:rPr>
              <w:t>. 2012;102(7):1274-1281</w:t>
            </w:r>
          </w:p>
          <w:p w14:paraId="2C6B8084" w14:textId="77777777" w:rsidR="00C32E41" w:rsidRPr="00B361F3" w:rsidRDefault="00C32E41" w:rsidP="000F5001">
            <w:pPr>
              <w:pStyle w:val="NoSpacing"/>
              <w:ind w:left="180" w:hanging="180"/>
              <w:rPr>
                <w:rFonts w:cstheme="minorHAnsi"/>
                <w:sz w:val="18"/>
                <w:szCs w:val="18"/>
              </w:rPr>
            </w:pPr>
            <w:r w:rsidRPr="00B361F3">
              <w:rPr>
                <w:rFonts w:cstheme="minorHAnsi"/>
                <w:sz w:val="18"/>
                <w:szCs w:val="18"/>
              </w:rPr>
              <w:t xml:space="preserve">Peters DH, Adam T, </w:t>
            </w:r>
            <w:proofErr w:type="spellStart"/>
            <w:r w:rsidRPr="00B361F3">
              <w:rPr>
                <w:rFonts w:cstheme="minorHAnsi"/>
                <w:sz w:val="18"/>
                <w:szCs w:val="18"/>
              </w:rPr>
              <w:t>Alonge</w:t>
            </w:r>
            <w:proofErr w:type="spellEnd"/>
            <w:r w:rsidRPr="00B361F3">
              <w:rPr>
                <w:rFonts w:cstheme="minorHAnsi"/>
                <w:sz w:val="18"/>
                <w:szCs w:val="18"/>
              </w:rPr>
              <w:t xml:space="preserve"> O, </w:t>
            </w:r>
            <w:proofErr w:type="spellStart"/>
            <w:r w:rsidRPr="00B361F3">
              <w:rPr>
                <w:rFonts w:cstheme="minorHAnsi"/>
                <w:sz w:val="18"/>
                <w:szCs w:val="18"/>
              </w:rPr>
              <w:t>Agyepong</w:t>
            </w:r>
            <w:proofErr w:type="spellEnd"/>
            <w:r w:rsidRPr="00B361F3">
              <w:rPr>
                <w:rFonts w:cstheme="minorHAnsi"/>
                <w:sz w:val="18"/>
                <w:szCs w:val="18"/>
              </w:rPr>
              <w:t xml:space="preserve"> IA, Tran N. Implementation research: what it is and how to do it. </w:t>
            </w:r>
            <w:r w:rsidRPr="00B361F3">
              <w:rPr>
                <w:rFonts w:cstheme="minorHAnsi"/>
                <w:i/>
                <w:sz w:val="18"/>
                <w:szCs w:val="18"/>
              </w:rPr>
              <w:t>BMJ</w:t>
            </w:r>
            <w:r w:rsidRPr="00B361F3">
              <w:rPr>
                <w:rFonts w:cstheme="minorHAnsi"/>
                <w:sz w:val="18"/>
                <w:szCs w:val="18"/>
              </w:rPr>
              <w:t>. 2013</w:t>
            </w:r>
            <w:proofErr w:type="gramStart"/>
            <w:r w:rsidRPr="00B361F3">
              <w:rPr>
                <w:rFonts w:cstheme="minorHAnsi"/>
                <w:sz w:val="18"/>
                <w:szCs w:val="18"/>
              </w:rPr>
              <w:t>;347:f6753</w:t>
            </w:r>
            <w:proofErr w:type="gramEnd"/>
            <w:r w:rsidRPr="00B361F3">
              <w:rPr>
                <w:rFonts w:cstheme="minorHAnsi"/>
                <w:sz w:val="18"/>
                <w:szCs w:val="18"/>
              </w:rPr>
              <w:t>.</w:t>
            </w:r>
          </w:p>
          <w:p w14:paraId="332E259D" w14:textId="77777777" w:rsidR="00C32E41" w:rsidRPr="00B361F3" w:rsidRDefault="00C32E41" w:rsidP="000F5001">
            <w:pPr>
              <w:pStyle w:val="NoSpacing"/>
              <w:ind w:left="180" w:hanging="180"/>
              <w:rPr>
                <w:rFonts w:cstheme="minorHAnsi"/>
                <w:sz w:val="18"/>
                <w:szCs w:val="18"/>
              </w:rPr>
            </w:pPr>
            <w:r w:rsidRPr="00B361F3">
              <w:rPr>
                <w:rFonts w:cstheme="minorHAnsi"/>
                <w:sz w:val="18"/>
                <w:szCs w:val="18"/>
              </w:rPr>
              <w:t>Bauer, Mark S., et al. "An introduction to implementation science for the non-specialist." BMC psychology 3.1 (2015): 32. https://bmcpsychology.biomedcentral.com/articles/10.1186/s40359-015-0089-9</w:t>
            </w:r>
          </w:p>
          <w:p w14:paraId="47A06E10" w14:textId="0C65D3D3" w:rsidR="004F68DA" w:rsidRPr="00B361F3" w:rsidRDefault="00C32E41" w:rsidP="000F5001">
            <w:pPr>
              <w:spacing w:after="0" w:line="240" w:lineRule="auto"/>
              <w:rPr>
                <w:rFonts w:cs="Arial"/>
                <w:sz w:val="18"/>
                <w:szCs w:val="18"/>
              </w:rPr>
            </w:pPr>
            <w:r w:rsidRPr="00B361F3">
              <w:rPr>
                <w:rFonts w:cstheme="minorHAnsi"/>
                <w:sz w:val="18"/>
                <w:szCs w:val="18"/>
              </w:rPr>
              <w:lastRenderedPageBreak/>
              <w:t>Woolf SH. The meaning of translational research and why it matters. JAMA 2008</w:t>
            </w:r>
            <w:proofErr w:type="gramStart"/>
            <w:r w:rsidRPr="00B361F3">
              <w:rPr>
                <w:rFonts w:cstheme="minorHAnsi"/>
                <w:sz w:val="18"/>
                <w:szCs w:val="18"/>
              </w:rPr>
              <w:t>;299</w:t>
            </w:r>
            <w:proofErr w:type="gramEnd"/>
            <w:r w:rsidRPr="00B361F3">
              <w:rPr>
                <w:rFonts w:cstheme="minorHAnsi"/>
                <w:sz w:val="18"/>
                <w:szCs w:val="18"/>
              </w:rPr>
              <w:t>(2):211-3.</w:t>
            </w:r>
          </w:p>
        </w:tc>
      </w:tr>
      <w:tr w:rsidR="004F68DA" w:rsidRPr="00774157" w14:paraId="1E0C3EC8" w14:textId="70AB4396" w:rsidTr="00B361F3">
        <w:trPr>
          <w:trHeight w:val="432"/>
          <w:jc w:val="center"/>
        </w:trPr>
        <w:tc>
          <w:tcPr>
            <w:tcW w:w="695" w:type="dxa"/>
            <w:tcBorders>
              <w:top w:val="single" w:sz="2" w:space="0" w:color="000000"/>
              <w:bottom w:val="single" w:sz="2" w:space="0" w:color="000000"/>
            </w:tcBorders>
            <w:vAlign w:val="center"/>
          </w:tcPr>
          <w:p w14:paraId="071D5473" w14:textId="77777777" w:rsidR="004F68DA" w:rsidRPr="00BE3EE4" w:rsidRDefault="004F68DA" w:rsidP="00375C64">
            <w:pPr>
              <w:spacing w:after="0" w:line="240" w:lineRule="auto"/>
              <w:rPr>
                <w:rFonts w:cs="Arial"/>
                <w:b/>
                <w:sz w:val="20"/>
                <w:szCs w:val="20"/>
              </w:rPr>
            </w:pPr>
            <w:r w:rsidRPr="00BE3EE4">
              <w:rPr>
                <w:rFonts w:cs="Arial"/>
                <w:b/>
                <w:sz w:val="20"/>
                <w:szCs w:val="20"/>
              </w:rPr>
              <w:lastRenderedPageBreak/>
              <w:t>Class 2</w:t>
            </w:r>
          </w:p>
        </w:tc>
        <w:tc>
          <w:tcPr>
            <w:tcW w:w="928" w:type="dxa"/>
            <w:tcBorders>
              <w:top w:val="single" w:sz="2" w:space="0" w:color="000000"/>
              <w:bottom w:val="single" w:sz="2" w:space="0" w:color="000000"/>
            </w:tcBorders>
            <w:vAlign w:val="center"/>
          </w:tcPr>
          <w:p w14:paraId="278F4CC6" w14:textId="00ED496C" w:rsidR="004F68DA" w:rsidRPr="000F5001" w:rsidRDefault="00167FA1" w:rsidP="00B361F3">
            <w:pPr>
              <w:spacing w:after="0" w:line="240" w:lineRule="auto"/>
              <w:rPr>
                <w:rFonts w:cs="Arial"/>
                <w:sz w:val="20"/>
                <w:szCs w:val="20"/>
              </w:rPr>
            </w:pPr>
            <w:r w:rsidRPr="00B361F3">
              <w:rPr>
                <w:rFonts w:cs="Arial"/>
                <w:sz w:val="20"/>
                <w:szCs w:val="20"/>
              </w:rPr>
              <w:t>Jan</w:t>
            </w:r>
            <w:r w:rsidR="00464C6B" w:rsidRPr="00B361F3">
              <w:rPr>
                <w:rFonts w:cs="Arial"/>
                <w:sz w:val="20"/>
                <w:szCs w:val="20"/>
              </w:rPr>
              <w:t>.</w:t>
            </w:r>
            <w:r w:rsidR="004F68DA" w:rsidRPr="00B361F3">
              <w:rPr>
                <w:rFonts w:cs="Arial"/>
                <w:sz w:val="20"/>
                <w:szCs w:val="20"/>
              </w:rPr>
              <w:t xml:space="preserve"> </w:t>
            </w:r>
            <w:r w:rsidRPr="000F5001">
              <w:rPr>
                <w:rFonts w:cs="Arial"/>
                <w:sz w:val="20"/>
                <w:szCs w:val="20"/>
              </w:rPr>
              <w:t>22</w:t>
            </w:r>
          </w:p>
        </w:tc>
        <w:tc>
          <w:tcPr>
            <w:tcW w:w="1952" w:type="dxa"/>
            <w:tcBorders>
              <w:top w:val="single" w:sz="2" w:space="0" w:color="000000"/>
              <w:bottom w:val="single" w:sz="2" w:space="0" w:color="000000"/>
            </w:tcBorders>
            <w:vAlign w:val="center"/>
          </w:tcPr>
          <w:p w14:paraId="7885F2F6" w14:textId="77777777" w:rsidR="0089313B" w:rsidRPr="000F5001" w:rsidRDefault="0089313B" w:rsidP="00B361F3">
            <w:pPr>
              <w:pStyle w:val="NoSpacing"/>
              <w:rPr>
                <w:rFonts w:cstheme="minorHAnsi"/>
                <w:sz w:val="20"/>
                <w:szCs w:val="20"/>
              </w:rPr>
            </w:pPr>
            <w:r w:rsidRPr="000F5001">
              <w:rPr>
                <w:rFonts w:cstheme="minorHAnsi"/>
                <w:sz w:val="20"/>
                <w:szCs w:val="20"/>
              </w:rPr>
              <w:t>D&amp;I research questions – how do you come up with evidence?</w:t>
            </w:r>
          </w:p>
          <w:p w14:paraId="45C6AFE4" w14:textId="77777777" w:rsidR="0089313B" w:rsidRPr="000F5001" w:rsidRDefault="0089313B" w:rsidP="000F5001">
            <w:pPr>
              <w:pStyle w:val="NoSpacing"/>
              <w:rPr>
                <w:rFonts w:cstheme="minorHAnsi"/>
                <w:sz w:val="20"/>
                <w:szCs w:val="20"/>
              </w:rPr>
            </w:pPr>
          </w:p>
          <w:p w14:paraId="3A65AD9F" w14:textId="73754313" w:rsidR="004F68DA" w:rsidRPr="000F5001" w:rsidRDefault="0089313B" w:rsidP="000F5001">
            <w:pPr>
              <w:spacing w:after="0" w:line="240" w:lineRule="auto"/>
              <w:rPr>
                <w:rFonts w:cs="Arial"/>
                <w:sz w:val="20"/>
                <w:szCs w:val="20"/>
              </w:rPr>
            </w:pPr>
            <w:r w:rsidRPr="000F5001">
              <w:rPr>
                <w:rFonts w:cstheme="minorHAnsi"/>
                <w:sz w:val="20"/>
                <w:szCs w:val="20"/>
              </w:rPr>
              <w:t>Building Evidence-based Capacity in Public Health and Medicine</w:t>
            </w:r>
          </w:p>
          <w:p w14:paraId="74D4AD60" w14:textId="77777777" w:rsidR="004F68DA" w:rsidRPr="000F5001" w:rsidRDefault="004F68DA" w:rsidP="000F5001">
            <w:pPr>
              <w:spacing w:after="0" w:line="240" w:lineRule="auto"/>
              <w:rPr>
                <w:rFonts w:cs="Arial"/>
                <w:sz w:val="20"/>
                <w:szCs w:val="20"/>
              </w:rPr>
            </w:pPr>
          </w:p>
        </w:tc>
        <w:tc>
          <w:tcPr>
            <w:tcW w:w="1258" w:type="dxa"/>
            <w:tcBorders>
              <w:top w:val="single" w:sz="2" w:space="0" w:color="000000"/>
              <w:bottom w:val="single" w:sz="2" w:space="0" w:color="000000"/>
            </w:tcBorders>
            <w:vAlign w:val="center"/>
          </w:tcPr>
          <w:p w14:paraId="7C5696A9" w14:textId="020F7B96" w:rsidR="004F68DA" w:rsidRPr="000F5001" w:rsidRDefault="004F68DA" w:rsidP="000F5001">
            <w:pPr>
              <w:spacing w:after="0" w:line="240" w:lineRule="auto"/>
              <w:rPr>
                <w:rFonts w:cs="Arial"/>
                <w:sz w:val="20"/>
                <w:szCs w:val="20"/>
              </w:rPr>
            </w:pPr>
          </w:p>
        </w:tc>
        <w:tc>
          <w:tcPr>
            <w:tcW w:w="6147" w:type="dxa"/>
            <w:tcBorders>
              <w:top w:val="single" w:sz="2" w:space="0" w:color="000000"/>
              <w:bottom w:val="single" w:sz="2" w:space="0" w:color="000000"/>
            </w:tcBorders>
            <w:vAlign w:val="center"/>
          </w:tcPr>
          <w:p w14:paraId="330D3EBF" w14:textId="77777777" w:rsidR="006C5782" w:rsidRPr="000F5001" w:rsidRDefault="006C5782" w:rsidP="000F5001">
            <w:pPr>
              <w:pStyle w:val="NoSpacing"/>
              <w:ind w:left="252" w:hanging="252"/>
              <w:rPr>
                <w:rFonts w:cstheme="minorHAnsi"/>
                <w:b/>
                <w:sz w:val="18"/>
                <w:szCs w:val="18"/>
              </w:rPr>
            </w:pPr>
            <w:r w:rsidRPr="000F5001">
              <w:rPr>
                <w:rFonts w:cstheme="minorHAnsi"/>
                <w:b/>
                <w:sz w:val="18"/>
                <w:szCs w:val="18"/>
              </w:rPr>
              <w:t>Core:</w:t>
            </w:r>
          </w:p>
          <w:p w14:paraId="3FCC76CC" w14:textId="77A9DCC0" w:rsidR="006C5782" w:rsidRPr="000F5001" w:rsidRDefault="006C5782" w:rsidP="000F5001">
            <w:pPr>
              <w:pStyle w:val="Default"/>
              <w:rPr>
                <w:rFonts w:asciiTheme="minorHAnsi" w:hAnsiTheme="minorHAnsi" w:cstheme="minorHAnsi"/>
                <w:color w:val="auto"/>
                <w:sz w:val="18"/>
                <w:szCs w:val="18"/>
              </w:rPr>
            </w:pPr>
            <w:proofErr w:type="spellStart"/>
            <w:r w:rsidRPr="000F5001">
              <w:rPr>
                <w:rFonts w:asciiTheme="minorHAnsi" w:hAnsiTheme="minorHAnsi" w:cstheme="minorHAnsi"/>
                <w:color w:val="auto"/>
                <w:sz w:val="18"/>
                <w:szCs w:val="18"/>
              </w:rPr>
              <w:t>Guyatt</w:t>
            </w:r>
            <w:proofErr w:type="spellEnd"/>
            <w:r w:rsidRPr="000F5001">
              <w:rPr>
                <w:rFonts w:asciiTheme="minorHAnsi" w:hAnsiTheme="minorHAnsi" w:cstheme="minorHAnsi"/>
                <w:color w:val="auto"/>
                <w:sz w:val="18"/>
                <w:szCs w:val="18"/>
              </w:rPr>
              <w:t xml:space="preserve"> et al. (1992). Evidence-based medicine: A new approach to teaching the practice of medicine. </w:t>
            </w:r>
            <w:r w:rsidRPr="000F5001">
              <w:rPr>
                <w:rFonts w:asciiTheme="minorHAnsi" w:hAnsiTheme="minorHAnsi" w:cstheme="minorHAnsi"/>
                <w:i/>
                <w:iCs/>
                <w:color w:val="auto"/>
                <w:sz w:val="18"/>
                <w:szCs w:val="18"/>
              </w:rPr>
              <w:t>JAMA, 268</w:t>
            </w:r>
            <w:r w:rsidRPr="000F5001">
              <w:rPr>
                <w:rFonts w:asciiTheme="minorHAnsi" w:hAnsiTheme="minorHAnsi" w:cstheme="minorHAnsi"/>
                <w:color w:val="auto"/>
                <w:sz w:val="18"/>
                <w:szCs w:val="18"/>
              </w:rPr>
              <w:t xml:space="preserve">(17), 2420-2425. </w:t>
            </w:r>
          </w:p>
          <w:p w14:paraId="776BE445" w14:textId="6EE1748D" w:rsidR="006C5782" w:rsidRPr="000F5001" w:rsidRDefault="006C5782" w:rsidP="000F5001">
            <w:pPr>
              <w:pStyle w:val="Default"/>
              <w:rPr>
                <w:rFonts w:asciiTheme="minorHAnsi" w:hAnsiTheme="minorHAnsi" w:cstheme="minorHAnsi"/>
                <w:color w:val="auto"/>
                <w:sz w:val="18"/>
                <w:szCs w:val="18"/>
              </w:rPr>
            </w:pPr>
            <w:r w:rsidRPr="000F5001">
              <w:rPr>
                <w:rFonts w:asciiTheme="minorHAnsi" w:hAnsiTheme="minorHAnsi" w:cstheme="minorHAnsi"/>
                <w:color w:val="auto"/>
                <w:sz w:val="18"/>
                <w:szCs w:val="18"/>
              </w:rPr>
              <w:t xml:space="preserve">Brownson et al. (2009). Evidence-based public health: A fundamental concept for public health practice. </w:t>
            </w:r>
            <w:r w:rsidRPr="000F5001">
              <w:rPr>
                <w:rFonts w:asciiTheme="minorHAnsi" w:hAnsiTheme="minorHAnsi" w:cstheme="minorHAnsi"/>
                <w:i/>
                <w:iCs/>
                <w:color w:val="auto"/>
                <w:sz w:val="18"/>
                <w:szCs w:val="18"/>
              </w:rPr>
              <w:t>Annual Review of Public Health, 30</w:t>
            </w:r>
            <w:r w:rsidRPr="000F5001">
              <w:rPr>
                <w:rFonts w:asciiTheme="minorHAnsi" w:hAnsiTheme="minorHAnsi" w:cstheme="minorHAnsi"/>
                <w:color w:val="auto"/>
                <w:sz w:val="18"/>
                <w:szCs w:val="18"/>
              </w:rPr>
              <w:t xml:space="preserve">, 175-201. </w:t>
            </w:r>
          </w:p>
          <w:p w14:paraId="5A4147AC" w14:textId="7A84E636" w:rsidR="007C26A8" w:rsidRPr="000F5001" w:rsidRDefault="00684ABB" w:rsidP="000F5001">
            <w:pPr>
              <w:pStyle w:val="Default"/>
              <w:rPr>
                <w:rFonts w:asciiTheme="minorHAnsi" w:hAnsiTheme="minorHAnsi" w:cstheme="minorHAnsi"/>
                <w:color w:val="auto"/>
                <w:sz w:val="18"/>
                <w:szCs w:val="18"/>
              </w:rPr>
            </w:pPr>
            <w:r w:rsidRPr="000F5001">
              <w:rPr>
                <w:rFonts w:asciiTheme="minorHAnsi" w:hAnsiTheme="minorHAnsi" w:cstheme="minorHAnsi"/>
                <w:color w:val="auto"/>
                <w:sz w:val="18"/>
                <w:szCs w:val="18"/>
              </w:rPr>
              <w:t>Jonathan Fielding (video)</w:t>
            </w:r>
          </w:p>
          <w:p w14:paraId="012121AF" w14:textId="77777777" w:rsidR="006C5782" w:rsidRPr="000F5001" w:rsidRDefault="006C5782" w:rsidP="000F5001">
            <w:pPr>
              <w:pStyle w:val="NoSpacing"/>
              <w:ind w:left="252" w:hanging="252"/>
              <w:rPr>
                <w:rFonts w:cstheme="minorHAnsi"/>
                <w:b/>
                <w:sz w:val="18"/>
                <w:szCs w:val="18"/>
              </w:rPr>
            </w:pPr>
            <w:r w:rsidRPr="000F5001">
              <w:rPr>
                <w:rFonts w:cstheme="minorHAnsi"/>
                <w:b/>
                <w:sz w:val="18"/>
                <w:szCs w:val="18"/>
              </w:rPr>
              <w:t>Additional:</w:t>
            </w:r>
          </w:p>
          <w:p w14:paraId="6C058016" w14:textId="77777777" w:rsidR="006C5782" w:rsidRPr="000F5001" w:rsidRDefault="006C5782" w:rsidP="000F5001">
            <w:pPr>
              <w:spacing w:after="0" w:line="240" w:lineRule="auto"/>
              <w:ind w:left="187" w:hanging="187"/>
              <w:rPr>
                <w:rFonts w:cstheme="minorHAnsi"/>
                <w:sz w:val="18"/>
                <w:szCs w:val="18"/>
                <w:shd w:val="clear" w:color="auto" w:fill="FFFFFF"/>
              </w:rPr>
            </w:pPr>
            <w:r w:rsidRPr="000F5001">
              <w:rPr>
                <w:rFonts w:cstheme="minorHAnsi"/>
                <w:sz w:val="18"/>
                <w:szCs w:val="18"/>
                <w:shd w:val="clear" w:color="auto" w:fill="FFFFFF"/>
              </w:rPr>
              <w:t>Brownson, Ross C., Jonathan E. Fielding, and Lawrence W. Green. "Building capacity for evidence-based public health: reconciling the pulls of practice and the push of research." </w:t>
            </w:r>
            <w:r w:rsidRPr="000F5001">
              <w:rPr>
                <w:rFonts w:cstheme="minorHAnsi"/>
                <w:i/>
                <w:iCs/>
                <w:sz w:val="18"/>
                <w:szCs w:val="18"/>
                <w:shd w:val="clear" w:color="auto" w:fill="FFFFFF"/>
              </w:rPr>
              <w:t>Annual review of public health</w:t>
            </w:r>
            <w:r w:rsidRPr="000F5001">
              <w:rPr>
                <w:rFonts w:cstheme="minorHAnsi"/>
                <w:sz w:val="18"/>
                <w:szCs w:val="18"/>
                <w:shd w:val="clear" w:color="auto" w:fill="FFFFFF"/>
              </w:rPr>
              <w:t> 39 (2018): 27-53.</w:t>
            </w:r>
          </w:p>
          <w:p w14:paraId="754CC148" w14:textId="5C98C68A" w:rsidR="004F68DA" w:rsidRPr="00F8424F" w:rsidRDefault="006C5782" w:rsidP="000F5001">
            <w:pPr>
              <w:spacing w:after="0" w:line="240" w:lineRule="auto"/>
              <w:ind w:left="187" w:hanging="187"/>
              <w:rPr>
                <w:rFonts w:cstheme="minorHAnsi"/>
                <w:sz w:val="18"/>
                <w:szCs w:val="18"/>
                <w:shd w:val="clear" w:color="auto" w:fill="FFFFFF"/>
              </w:rPr>
            </w:pPr>
            <w:r w:rsidRPr="000F5001">
              <w:rPr>
                <w:rFonts w:cstheme="minorHAnsi"/>
                <w:sz w:val="18"/>
                <w:szCs w:val="18"/>
                <w:shd w:val="clear" w:color="auto" w:fill="FFFFFF"/>
              </w:rPr>
              <w:t>Aarons, Gregory A., et al. "Aligning leadership across systems and organizations to develop a strategic climate for evidence-based practice implementation." </w:t>
            </w:r>
            <w:r w:rsidRPr="000F5001">
              <w:rPr>
                <w:rFonts w:cstheme="minorHAnsi"/>
                <w:i/>
                <w:iCs/>
                <w:sz w:val="18"/>
                <w:szCs w:val="18"/>
                <w:shd w:val="clear" w:color="auto" w:fill="FFFFFF"/>
              </w:rPr>
              <w:t>Annual Review of Public Health</w:t>
            </w:r>
            <w:r w:rsidRPr="000F5001">
              <w:rPr>
                <w:rFonts w:cstheme="minorHAnsi"/>
                <w:sz w:val="18"/>
                <w:szCs w:val="18"/>
                <w:shd w:val="clear" w:color="auto" w:fill="FFFFFF"/>
              </w:rPr>
              <w:t> 35 (2014): 255-274.</w:t>
            </w:r>
          </w:p>
        </w:tc>
      </w:tr>
      <w:tr w:rsidR="004F68DA" w:rsidRPr="00774157" w14:paraId="2824BE7B" w14:textId="1C9FE7A9" w:rsidTr="00B361F3">
        <w:trPr>
          <w:trHeight w:val="432"/>
          <w:jc w:val="center"/>
        </w:trPr>
        <w:tc>
          <w:tcPr>
            <w:tcW w:w="695" w:type="dxa"/>
            <w:tcBorders>
              <w:top w:val="single" w:sz="2" w:space="0" w:color="000000"/>
              <w:bottom w:val="single" w:sz="2" w:space="0" w:color="000000"/>
            </w:tcBorders>
            <w:vAlign w:val="center"/>
          </w:tcPr>
          <w:p w14:paraId="56D12F49" w14:textId="77777777" w:rsidR="004F68DA" w:rsidRPr="00BE3EE4" w:rsidRDefault="004F68DA" w:rsidP="00375C64">
            <w:pPr>
              <w:spacing w:after="0" w:line="240" w:lineRule="auto"/>
              <w:rPr>
                <w:rFonts w:cs="Arial"/>
                <w:b/>
                <w:sz w:val="20"/>
                <w:szCs w:val="20"/>
              </w:rPr>
            </w:pPr>
            <w:r w:rsidRPr="00BE3EE4">
              <w:rPr>
                <w:rFonts w:cs="Arial"/>
                <w:b/>
                <w:sz w:val="20"/>
                <w:szCs w:val="20"/>
              </w:rPr>
              <w:t>Class 3</w:t>
            </w:r>
          </w:p>
        </w:tc>
        <w:tc>
          <w:tcPr>
            <w:tcW w:w="928" w:type="dxa"/>
            <w:tcBorders>
              <w:top w:val="single" w:sz="2" w:space="0" w:color="000000"/>
              <w:bottom w:val="single" w:sz="2" w:space="0" w:color="000000"/>
            </w:tcBorders>
            <w:vAlign w:val="center"/>
          </w:tcPr>
          <w:p w14:paraId="35A9F26F" w14:textId="6A7B0ED8" w:rsidR="004F68DA" w:rsidRPr="00F8424F" w:rsidRDefault="00167FA1" w:rsidP="00B361F3">
            <w:pPr>
              <w:spacing w:after="0" w:line="240" w:lineRule="auto"/>
              <w:rPr>
                <w:rFonts w:cs="Arial"/>
                <w:sz w:val="20"/>
                <w:szCs w:val="20"/>
              </w:rPr>
            </w:pPr>
            <w:r w:rsidRPr="00B361F3">
              <w:rPr>
                <w:rFonts w:cs="Arial"/>
                <w:sz w:val="20"/>
                <w:szCs w:val="20"/>
              </w:rPr>
              <w:t>Jan</w:t>
            </w:r>
            <w:r w:rsidR="00464C6B" w:rsidRPr="00B361F3">
              <w:rPr>
                <w:rFonts w:cs="Arial"/>
                <w:sz w:val="20"/>
                <w:szCs w:val="20"/>
              </w:rPr>
              <w:t>.</w:t>
            </w:r>
            <w:r w:rsidR="004F68DA" w:rsidRPr="00B361F3">
              <w:rPr>
                <w:rFonts w:cs="Arial"/>
                <w:sz w:val="20"/>
                <w:szCs w:val="20"/>
              </w:rPr>
              <w:t xml:space="preserve"> </w:t>
            </w:r>
            <w:r w:rsidRPr="00F8424F">
              <w:rPr>
                <w:rFonts w:cs="Arial"/>
                <w:sz w:val="20"/>
                <w:szCs w:val="20"/>
              </w:rPr>
              <w:t>29</w:t>
            </w:r>
          </w:p>
        </w:tc>
        <w:tc>
          <w:tcPr>
            <w:tcW w:w="1952" w:type="dxa"/>
            <w:tcBorders>
              <w:top w:val="single" w:sz="2" w:space="0" w:color="000000"/>
              <w:bottom w:val="single" w:sz="2" w:space="0" w:color="000000"/>
            </w:tcBorders>
            <w:vAlign w:val="center"/>
          </w:tcPr>
          <w:p w14:paraId="486364F4" w14:textId="14B5F51A" w:rsidR="00733322" w:rsidRPr="00F8424F" w:rsidRDefault="00BA6775" w:rsidP="00F8424F">
            <w:pPr>
              <w:spacing w:after="0" w:line="240" w:lineRule="auto"/>
              <w:rPr>
                <w:rFonts w:cs="Arial"/>
                <w:sz w:val="20"/>
                <w:szCs w:val="20"/>
              </w:rPr>
            </w:pPr>
            <w:r w:rsidRPr="00F8424F">
              <w:rPr>
                <w:rFonts w:cstheme="minorHAnsi"/>
                <w:sz w:val="20"/>
                <w:szCs w:val="20"/>
              </w:rPr>
              <w:t>D&amp;I study designs</w:t>
            </w:r>
            <w:r w:rsidRPr="00BE3EE4" w:rsidDel="008A41F5">
              <w:rPr>
                <w:rFonts w:cs="Arial"/>
                <w:sz w:val="20"/>
                <w:szCs w:val="20"/>
              </w:rPr>
              <w:t xml:space="preserve"> </w:t>
            </w:r>
          </w:p>
        </w:tc>
        <w:tc>
          <w:tcPr>
            <w:tcW w:w="1258" w:type="dxa"/>
            <w:tcBorders>
              <w:top w:val="single" w:sz="2" w:space="0" w:color="000000"/>
              <w:bottom w:val="single" w:sz="2" w:space="0" w:color="000000"/>
            </w:tcBorders>
            <w:vAlign w:val="center"/>
          </w:tcPr>
          <w:p w14:paraId="1C6CAB2A" w14:textId="44DE7ADA" w:rsidR="004F68DA" w:rsidRPr="00BE3EE4" w:rsidRDefault="0016191E" w:rsidP="00F8424F">
            <w:pPr>
              <w:spacing w:after="0" w:line="240" w:lineRule="auto"/>
              <w:rPr>
                <w:rFonts w:cs="Arial"/>
                <w:sz w:val="20"/>
                <w:szCs w:val="20"/>
              </w:rPr>
            </w:pPr>
            <w:r w:rsidRPr="00F8424F">
              <w:rPr>
                <w:rFonts w:cstheme="minorHAnsi"/>
                <w:sz w:val="20"/>
                <w:szCs w:val="20"/>
              </w:rPr>
              <w:t>Due: Webinar assignment</w:t>
            </w:r>
          </w:p>
        </w:tc>
        <w:tc>
          <w:tcPr>
            <w:tcW w:w="6147" w:type="dxa"/>
            <w:tcBorders>
              <w:top w:val="single" w:sz="2" w:space="0" w:color="000000"/>
              <w:bottom w:val="single" w:sz="2" w:space="0" w:color="000000"/>
            </w:tcBorders>
            <w:vAlign w:val="center"/>
          </w:tcPr>
          <w:p w14:paraId="58E81801" w14:textId="77777777" w:rsidR="00BA6775" w:rsidRPr="00F8424F" w:rsidRDefault="00BA6775" w:rsidP="00F8424F">
            <w:pPr>
              <w:pStyle w:val="NoSpacing"/>
              <w:ind w:left="252" w:hanging="252"/>
              <w:rPr>
                <w:rFonts w:cstheme="minorHAnsi"/>
                <w:b/>
                <w:sz w:val="18"/>
                <w:szCs w:val="18"/>
              </w:rPr>
            </w:pPr>
            <w:r w:rsidRPr="00F8424F">
              <w:rPr>
                <w:rFonts w:cstheme="minorHAnsi"/>
                <w:b/>
                <w:sz w:val="18"/>
                <w:szCs w:val="18"/>
              </w:rPr>
              <w:t>Core:</w:t>
            </w:r>
          </w:p>
          <w:p w14:paraId="5AEDC10B" w14:textId="77777777" w:rsidR="00BA6775" w:rsidRPr="00F8424F" w:rsidRDefault="00BA6775" w:rsidP="00F8424F">
            <w:pPr>
              <w:pStyle w:val="NoSpacing"/>
              <w:ind w:left="252" w:hanging="252"/>
              <w:rPr>
                <w:rFonts w:cstheme="minorHAnsi"/>
                <w:sz w:val="18"/>
                <w:szCs w:val="18"/>
              </w:rPr>
            </w:pPr>
            <w:r w:rsidRPr="00F8424F">
              <w:rPr>
                <w:rFonts w:cstheme="minorHAnsi"/>
                <w:sz w:val="18"/>
                <w:szCs w:val="18"/>
              </w:rPr>
              <w:t xml:space="preserve">Ch. 13: </w:t>
            </w:r>
            <w:proofErr w:type="spellStart"/>
            <w:r w:rsidRPr="00F8424F">
              <w:rPr>
                <w:rFonts w:cstheme="minorHAnsi"/>
                <w:sz w:val="18"/>
                <w:szCs w:val="18"/>
              </w:rPr>
              <w:t>Landsverk</w:t>
            </w:r>
            <w:proofErr w:type="spellEnd"/>
            <w:r w:rsidRPr="00F8424F">
              <w:rPr>
                <w:rFonts w:cstheme="minorHAnsi"/>
                <w:sz w:val="18"/>
                <w:szCs w:val="18"/>
              </w:rPr>
              <w:t xml:space="preserve"> J. Design and analysis of dissemination and implementation research</w:t>
            </w:r>
          </w:p>
          <w:p w14:paraId="6E13A54D" w14:textId="77777777" w:rsidR="00BA6775" w:rsidRPr="00F8424F" w:rsidRDefault="00BA6775" w:rsidP="00F8424F">
            <w:pPr>
              <w:pStyle w:val="NoSpacing"/>
              <w:ind w:left="252" w:hanging="252"/>
              <w:rPr>
                <w:rFonts w:cstheme="minorHAnsi"/>
                <w:sz w:val="18"/>
                <w:szCs w:val="18"/>
              </w:rPr>
            </w:pPr>
            <w:r w:rsidRPr="00F8424F">
              <w:rPr>
                <w:rFonts w:cstheme="minorHAnsi"/>
                <w:sz w:val="18"/>
                <w:szCs w:val="18"/>
              </w:rPr>
              <w:t xml:space="preserve">Mazzucca S, Tabak RG, Pilar M, et al. Variation in Research Designs Used to Test the Effectiveness of Dissemination and Implementation Strategies: A Review. </w:t>
            </w:r>
            <w:r w:rsidRPr="00F8424F">
              <w:rPr>
                <w:rFonts w:cstheme="minorHAnsi"/>
                <w:i/>
                <w:sz w:val="18"/>
                <w:szCs w:val="18"/>
              </w:rPr>
              <w:t xml:space="preserve">Front Public Health. </w:t>
            </w:r>
            <w:r w:rsidRPr="00F8424F">
              <w:rPr>
                <w:rFonts w:cstheme="minorHAnsi"/>
                <w:sz w:val="18"/>
                <w:szCs w:val="18"/>
              </w:rPr>
              <w:t>2018;6:32</w:t>
            </w:r>
          </w:p>
          <w:p w14:paraId="02B960CE" w14:textId="083D040A" w:rsidR="00BA6775" w:rsidRPr="00F8424F" w:rsidRDefault="00BA6775" w:rsidP="00F8424F">
            <w:pPr>
              <w:pStyle w:val="NoSpacing"/>
              <w:ind w:left="252" w:hanging="252"/>
              <w:rPr>
                <w:rFonts w:cstheme="minorHAnsi"/>
                <w:sz w:val="18"/>
                <w:szCs w:val="18"/>
                <w:shd w:val="clear" w:color="auto" w:fill="FFFFFF"/>
              </w:rPr>
            </w:pPr>
            <w:r w:rsidRPr="00F8424F">
              <w:rPr>
                <w:rFonts w:cstheme="minorHAnsi"/>
                <w:sz w:val="18"/>
                <w:szCs w:val="18"/>
                <w:shd w:val="clear" w:color="auto" w:fill="FFFFFF"/>
              </w:rPr>
              <w:t>Sanson-Fisher, Robert W., et al. "Evaluation of systems-oriented public health interventions: alternative research designs." </w:t>
            </w:r>
            <w:r w:rsidRPr="00F8424F">
              <w:rPr>
                <w:rFonts w:cstheme="minorHAnsi"/>
                <w:i/>
                <w:iCs/>
                <w:sz w:val="18"/>
                <w:szCs w:val="18"/>
                <w:shd w:val="clear" w:color="auto" w:fill="FFFFFF"/>
              </w:rPr>
              <w:t>Annual Review of Public Health</w:t>
            </w:r>
            <w:r w:rsidRPr="00F8424F">
              <w:rPr>
                <w:rFonts w:cstheme="minorHAnsi"/>
                <w:sz w:val="18"/>
                <w:szCs w:val="18"/>
                <w:shd w:val="clear" w:color="auto" w:fill="FFFFFF"/>
              </w:rPr>
              <w:t> 35 (2014): 9-27.</w:t>
            </w:r>
          </w:p>
          <w:p w14:paraId="27D0A949" w14:textId="0AFB0B19" w:rsidR="00BA6775" w:rsidRPr="00F8424F" w:rsidRDefault="00BA6775" w:rsidP="00F8424F">
            <w:pPr>
              <w:pStyle w:val="NoSpacing"/>
              <w:ind w:left="252" w:hanging="252"/>
              <w:rPr>
                <w:rFonts w:cstheme="minorHAnsi"/>
                <w:sz w:val="18"/>
                <w:szCs w:val="18"/>
              </w:rPr>
            </w:pPr>
            <w:r w:rsidRPr="00F8424F">
              <w:rPr>
                <w:rFonts w:cstheme="minorHAnsi"/>
                <w:sz w:val="18"/>
                <w:szCs w:val="18"/>
              </w:rPr>
              <w:t>Sanson-Fisher (video)</w:t>
            </w:r>
          </w:p>
          <w:p w14:paraId="1CC36C9F" w14:textId="77777777" w:rsidR="00BA6775" w:rsidRPr="00F8424F" w:rsidRDefault="00BA6775" w:rsidP="00F8424F">
            <w:pPr>
              <w:pStyle w:val="NoSpacing"/>
              <w:ind w:left="252" w:hanging="252"/>
              <w:rPr>
                <w:rFonts w:cstheme="minorHAnsi"/>
                <w:b/>
                <w:sz w:val="18"/>
                <w:szCs w:val="18"/>
              </w:rPr>
            </w:pPr>
            <w:r w:rsidRPr="00F8424F">
              <w:rPr>
                <w:rFonts w:cstheme="minorHAnsi"/>
                <w:b/>
                <w:sz w:val="18"/>
                <w:szCs w:val="18"/>
              </w:rPr>
              <w:t>Additional:</w:t>
            </w:r>
          </w:p>
          <w:p w14:paraId="102AC292" w14:textId="77777777" w:rsidR="00BA6775" w:rsidRPr="00F8424F" w:rsidRDefault="00BA6775" w:rsidP="00F8424F">
            <w:pPr>
              <w:pStyle w:val="NoSpacing"/>
              <w:ind w:left="252" w:hanging="252"/>
              <w:rPr>
                <w:rFonts w:cstheme="minorHAnsi"/>
                <w:sz w:val="18"/>
                <w:szCs w:val="18"/>
              </w:rPr>
            </w:pPr>
            <w:r w:rsidRPr="00F8424F">
              <w:rPr>
                <w:rFonts w:cstheme="minorHAnsi"/>
                <w:sz w:val="18"/>
                <w:szCs w:val="18"/>
                <w:shd w:val="clear" w:color="auto" w:fill="FFFFFF"/>
              </w:rPr>
              <w:t>Handley, Margaret A., et al. "Selecting and improving quasi-experimental designs in effectiveness and implementation research." </w:t>
            </w:r>
            <w:r w:rsidRPr="00F8424F">
              <w:rPr>
                <w:rFonts w:cstheme="minorHAnsi"/>
                <w:i/>
                <w:iCs/>
                <w:sz w:val="18"/>
                <w:szCs w:val="18"/>
                <w:shd w:val="clear" w:color="auto" w:fill="FFFFFF"/>
              </w:rPr>
              <w:t>Annual review of public health</w:t>
            </w:r>
            <w:r w:rsidRPr="00F8424F">
              <w:rPr>
                <w:rFonts w:cstheme="minorHAnsi"/>
                <w:sz w:val="18"/>
                <w:szCs w:val="18"/>
                <w:shd w:val="clear" w:color="auto" w:fill="FFFFFF"/>
              </w:rPr>
              <w:t> 39 (2018): 5-25.</w:t>
            </w:r>
          </w:p>
          <w:p w14:paraId="53770500" w14:textId="77777777" w:rsidR="00BA6775" w:rsidRPr="00F8424F" w:rsidRDefault="00BA6775" w:rsidP="00F8424F">
            <w:pPr>
              <w:pStyle w:val="NoSpacing"/>
              <w:ind w:left="252" w:hanging="252"/>
              <w:rPr>
                <w:rFonts w:cstheme="minorHAnsi"/>
                <w:sz w:val="18"/>
                <w:szCs w:val="18"/>
              </w:rPr>
            </w:pPr>
            <w:r w:rsidRPr="00F8424F">
              <w:rPr>
                <w:rFonts w:cstheme="minorHAnsi"/>
                <w:sz w:val="18"/>
                <w:szCs w:val="18"/>
              </w:rPr>
              <w:t xml:space="preserve">Brown C, Curran G, </w:t>
            </w:r>
            <w:proofErr w:type="spellStart"/>
            <w:r w:rsidRPr="00F8424F">
              <w:rPr>
                <w:rFonts w:cstheme="minorHAnsi"/>
                <w:sz w:val="18"/>
                <w:szCs w:val="18"/>
              </w:rPr>
              <w:t>Palinkas</w:t>
            </w:r>
            <w:proofErr w:type="spellEnd"/>
            <w:r w:rsidRPr="00F8424F">
              <w:rPr>
                <w:rFonts w:cstheme="minorHAnsi"/>
                <w:sz w:val="18"/>
                <w:szCs w:val="18"/>
              </w:rPr>
              <w:t xml:space="preserve"> L, et al. An Overview of Research and Evaluation Designs for Dissemination and Implementation. </w:t>
            </w:r>
            <w:proofErr w:type="spellStart"/>
            <w:r w:rsidRPr="00F8424F">
              <w:rPr>
                <w:rFonts w:cstheme="minorHAnsi"/>
                <w:i/>
                <w:sz w:val="18"/>
                <w:szCs w:val="18"/>
              </w:rPr>
              <w:t>Annu</w:t>
            </w:r>
            <w:proofErr w:type="spellEnd"/>
            <w:r w:rsidRPr="00F8424F">
              <w:rPr>
                <w:rFonts w:cstheme="minorHAnsi"/>
                <w:i/>
                <w:sz w:val="18"/>
                <w:szCs w:val="18"/>
              </w:rPr>
              <w:t xml:space="preserve"> Rev Public Health. </w:t>
            </w:r>
            <w:r w:rsidRPr="00F8424F">
              <w:rPr>
                <w:rFonts w:cstheme="minorHAnsi"/>
                <w:sz w:val="18"/>
                <w:szCs w:val="18"/>
              </w:rPr>
              <w:t>2017;38:1-22</w:t>
            </w:r>
          </w:p>
          <w:p w14:paraId="1807A00D" w14:textId="77777777" w:rsidR="00BA6775" w:rsidRPr="00F8424F" w:rsidRDefault="00BA6775" w:rsidP="00F8424F">
            <w:pPr>
              <w:spacing w:after="0" w:line="240" w:lineRule="auto"/>
              <w:ind w:left="252" w:hanging="252"/>
              <w:rPr>
                <w:rFonts w:cstheme="minorHAnsi"/>
                <w:sz w:val="18"/>
                <w:szCs w:val="18"/>
                <w:shd w:val="clear" w:color="auto" w:fill="FFFFFF"/>
              </w:rPr>
            </w:pPr>
            <w:proofErr w:type="spellStart"/>
            <w:r w:rsidRPr="00F8424F">
              <w:rPr>
                <w:rFonts w:cstheme="minorHAnsi"/>
                <w:sz w:val="18"/>
                <w:szCs w:val="18"/>
                <w:shd w:val="clear" w:color="auto" w:fill="FFFFFF"/>
              </w:rPr>
              <w:t>Crespi</w:t>
            </w:r>
            <w:proofErr w:type="spellEnd"/>
            <w:r w:rsidRPr="00F8424F">
              <w:rPr>
                <w:rFonts w:cstheme="minorHAnsi"/>
                <w:sz w:val="18"/>
                <w:szCs w:val="18"/>
                <w:shd w:val="clear" w:color="auto" w:fill="FFFFFF"/>
              </w:rPr>
              <w:t>, Catherine M. "Improved designs for cluster randomized trials." </w:t>
            </w:r>
            <w:r w:rsidRPr="00F8424F">
              <w:rPr>
                <w:rFonts w:cstheme="minorHAnsi"/>
                <w:i/>
                <w:iCs/>
                <w:sz w:val="18"/>
                <w:szCs w:val="18"/>
                <w:shd w:val="clear" w:color="auto" w:fill="FFFFFF"/>
              </w:rPr>
              <w:t>Annual review of public health</w:t>
            </w:r>
            <w:r w:rsidRPr="00F8424F">
              <w:rPr>
                <w:rFonts w:cstheme="minorHAnsi"/>
                <w:sz w:val="18"/>
                <w:szCs w:val="18"/>
                <w:shd w:val="clear" w:color="auto" w:fill="FFFFFF"/>
              </w:rPr>
              <w:t> 37 (2016): 1-16.</w:t>
            </w:r>
          </w:p>
          <w:p w14:paraId="3D8705A7" w14:textId="7793DE66" w:rsidR="004F68DA" w:rsidRPr="00F8424F" w:rsidRDefault="00BA6775" w:rsidP="00F8424F">
            <w:pPr>
              <w:spacing w:after="0" w:line="240" w:lineRule="auto"/>
              <w:ind w:left="187" w:hanging="187"/>
              <w:rPr>
                <w:rFonts w:cstheme="minorHAnsi"/>
                <w:sz w:val="18"/>
                <w:szCs w:val="18"/>
              </w:rPr>
            </w:pPr>
            <w:r w:rsidRPr="00F8424F">
              <w:rPr>
                <w:rFonts w:cstheme="minorHAnsi"/>
                <w:sz w:val="18"/>
                <w:szCs w:val="18"/>
              </w:rPr>
              <w:t xml:space="preserve">Johnson KE, Tachibana C, Coronado GD, </w:t>
            </w:r>
            <w:proofErr w:type="spellStart"/>
            <w:r w:rsidRPr="00F8424F">
              <w:rPr>
                <w:rFonts w:cstheme="minorHAnsi"/>
                <w:sz w:val="18"/>
                <w:szCs w:val="18"/>
              </w:rPr>
              <w:t>Dember</w:t>
            </w:r>
            <w:proofErr w:type="spellEnd"/>
            <w:r w:rsidRPr="00F8424F">
              <w:rPr>
                <w:rFonts w:cstheme="minorHAnsi"/>
                <w:sz w:val="18"/>
                <w:szCs w:val="18"/>
              </w:rPr>
              <w:t xml:space="preserve"> LM, Glasgow RE, Huang SS, et al. A guide to research partnerships for pragmatic clinical trials. BMJ. 2014</w:t>
            </w:r>
            <w:proofErr w:type="gramStart"/>
            <w:r w:rsidRPr="00F8424F">
              <w:rPr>
                <w:rFonts w:cstheme="minorHAnsi"/>
                <w:sz w:val="18"/>
                <w:szCs w:val="18"/>
              </w:rPr>
              <w:t>;349:g6826</w:t>
            </w:r>
            <w:proofErr w:type="gramEnd"/>
            <w:r w:rsidRPr="00F8424F">
              <w:rPr>
                <w:rFonts w:cstheme="minorHAnsi"/>
                <w:sz w:val="18"/>
                <w:szCs w:val="18"/>
              </w:rPr>
              <w:t>.</w:t>
            </w:r>
          </w:p>
        </w:tc>
      </w:tr>
      <w:tr w:rsidR="004F68DA" w:rsidRPr="00774157" w14:paraId="6DDBED19" w14:textId="7FF0A78A" w:rsidTr="00B361F3">
        <w:trPr>
          <w:trHeight w:val="432"/>
          <w:jc w:val="center"/>
        </w:trPr>
        <w:tc>
          <w:tcPr>
            <w:tcW w:w="695" w:type="dxa"/>
            <w:tcBorders>
              <w:top w:val="single" w:sz="2" w:space="0" w:color="000000"/>
              <w:bottom w:val="single" w:sz="2" w:space="0" w:color="000000"/>
            </w:tcBorders>
            <w:vAlign w:val="center"/>
          </w:tcPr>
          <w:p w14:paraId="24AC465C" w14:textId="77777777" w:rsidR="004F68DA" w:rsidRPr="00BE3EE4" w:rsidRDefault="004F68DA" w:rsidP="00375C64">
            <w:pPr>
              <w:spacing w:after="0" w:line="240" w:lineRule="auto"/>
              <w:rPr>
                <w:rFonts w:cs="Arial"/>
                <w:b/>
                <w:sz w:val="20"/>
                <w:szCs w:val="20"/>
              </w:rPr>
            </w:pPr>
            <w:r w:rsidRPr="00BE3EE4">
              <w:rPr>
                <w:rFonts w:cs="Arial"/>
                <w:b/>
                <w:sz w:val="20"/>
                <w:szCs w:val="20"/>
              </w:rPr>
              <w:t>Class 4</w:t>
            </w:r>
          </w:p>
        </w:tc>
        <w:tc>
          <w:tcPr>
            <w:tcW w:w="928" w:type="dxa"/>
            <w:tcBorders>
              <w:top w:val="single" w:sz="2" w:space="0" w:color="000000"/>
              <w:bottom w:val="single" w:sz="2" w:space="0" w:color="000000"/>
            </w:tcBorders>
            <w:vAlign w:val="center"/>
          </w:tcPr>
          <w:p w14:paraId="43D74E1E" w14:textId="2180938E" w:rsidR="004F68DA" w:rsidRPr="00F8424F" w:rsidRDefault="00167FA1" w:rsidP="00B361F3">
            <w:pPr>
              <w:spacing w:after="0" w:line="240" w:lineRule="auto"/>
              <w:rPr>
                <w:rFonts w:cs="Arial"/>
                <w:sz w:val="20"/>
                <w:szCs w:val="20"/>
              </w:rPr>
            </w:pPr>
            <w:r w:rsidRPr="00B361F3">
              <w:rPr>
                <w:rFonts w:cs="Arial"/>
                <w:sz w:val="20"/>
                <w:szCs w:val="20"/>
              </w:rPr>
              <w:t>F</w:t>
            </w:r>
            <w:r w:rsidR="00464C6B" w:rsidRPr="00B361F3">
              <w:rPr>
                <w:rFonts w:cs="Arial"/>
                <w:sz w:val="20"/>
                <w:szCs w:val="20"/>
              </w:rPr>
              <w:t>e</w:t>
            </w:r>
            <w:r w:rsidRPr="00B361F3">
              <w:rPr>
                <w:rFonts w:cs="Arial"/>
                <w:sz w:val="20"/>
                <w:szCs w:val="20"/>
              </w:rPr>
              <w:t>b</w:t>
            </w:r>
            <w:r w:rsidR="00464C6B" w:rsidRPr="00B361F3">
              <w:rPr>
                <w:rFonts w:cs="Arial"/>
                <w:sz w:val="20"/>
                <w:szCs w:val="20"/>
              </w:rPr>
              <w:t xml:space="preserve">. </w:t>
            </w:r>
            <w:r w:rsidRPr="00F8424F">
              <w:rPr>
                <w:rFonts w:cs="Arial"/>
                <w:sz w:val="20"/>
                <w:szCs w:val="20"/>
              </w:rPr>
              <w:t>5</w:t>
            </w:r>
          </w:p>
        </w:tc>
        <w:tc>
          <w:tcPr>
            <w:tcW w:w="1952" w:type="dxa"/>
            <w:tcBorders>
              <w:top w:val="single" w:sz="2" w:space="0" w:color="000000"/>
              <w:bottom w:val="single" w:sz="2" w:space="0" w:color="000000"/>
            </w:tcBorders>
            <w:vAlign w:val="center"/>
          </w:tcPr>
          <w:p w14:paraId="33F424F2" w14:textId="36F80DA4" w:rsidR="000F7449" w:rsidRPr="00F8424F" w:rsidRDefault="000F7449" w:rsidP="00B361F3">
            <w:pPr>
              <w:pStyle w:val="NoSpacing"/>
              <w:rPr>
                <w:rFonts w:cstheme="minorHAnsi"/>
                <w:sz w:val="20"/>
                <w:szCs w:val="20"/>
              </w:rPr>
            </w:pPr>
            <w:r w:rsidRPr="00F8424F">
              <w:rPr>
                <w:rFonts w:cstheme="minorHAnsi"/>
                <w:sz w:val="20"/>
                <w:szCs w:val="20"/>
              </w:rPr>
              <w:t>Theories and frameworks in D&amp;I research</w:t>
            </w:r>
          </w:p>
          <w:p w14:paraId="653013D5" w14:textId="77777777" w:rsidR="000F7449" w:rsidRPr="00F8424F" w:rsidRDefault="000F7449" w:rsidP="00F8424F">
            <w:pPr>
              <w:pStyle w:val="NoSpacing"/>
              <w:rPr>
                <w:rFonts w:cstheme="minorHAnsi"/>
                <w:sz w:val="20"/>
                <w:szCs w:val="20"/>
              </w:rPr>
            </w:pPr>
          </w:p>
          <w:p w14:paraId="6E2072AB" w14:textId="5CA96342" w:rsidR="004F68DA" w:rsidRPr="00F8424F" w:rsidRDefault="000F7449" w:rsidP="00F8424F">
            <w:pPr>
              <w:spacing w:after="0" w:line="240" w:lineRule="auto"/>
              <w:rPr>
                <w:rFonts w:cs="Arial"/>
                <w:sz w:val="20"/>
                <w:szCs w:val="20"/>
              </w:rPr>
            </w:pPr>
            <w:r w:rsidRPr="00F8424F">
              <w:rPr>
                <w:rFonts w:cstheme="minorHAnsi"/>
                <w:sz w:val="20"/>
                <w:szCs w:val="20"/>
              </w:rPr>
              <w:t>Writing an aims page/grant-writing overview</w:t>
            </w:r>
            <w:r w:rsidRPr="00BE3EE4" w:rsidDel="00404557">
              <w:rPr>
                <w:rFonts w:cs="Arial"/>
                <w:sz w:val="20"/>
                <w:szCs w:val="20"/>
              </w:rPr>
              <w:t xml:space="preserve"> </w:t>
            </w:r>
          </w:p>
        </w:tc>
        <w:tc>
          <w:tcPr>
            <w:tcW w:w="1258" w:type="dxa"/>
            <w:tcBorders>
              <w:top w:val="single" w:sz="2" w:space="0" w:color="000000"/>
              <w:bottom w:val="single" w:sz="2" w:space="0" w:color="000000"/>
            </w:tcBorders>
            <w:vAlign w:val="center"/>
          </w:tcPr>
          <w:p w14:paraId="6722FB20" w14:textId="191E30B5" w:rsidR="004F68DA" w:rsidRPr="00BE3EE4" w:rsidRDefault="000F7449" w:rsidP="00F8424F">
            <w:pPr>
              <w:spacing w:after="0" w:line="240" w:lineRule="auto"/>
              <w:rPr>
                <w:rFonts w:cs="Arial"/>
                <w:b/>
                <w:sz w:val="20"/>
                <w:szCs w:val="20"/>
              </w:rPr>
            </w:pPr>
            <w:r w:rsidRPr="00F8424F">
              <w:rPr>
                <w:rFonts w:cstheme="minorHAnsi"/>
                <w:sz w:val="20"/>
                <w:szCs w:val="20"/>
              </w:rPr>
              <w:t>Due: Final Project: Topic Idea</w:t>
            </w:r>
          </w:p>
        </w:tc>
        <w:tc>
          <w:tcPr>
            <w:tcW w:w="6147" w:type="dxa"/>
            <w:tcBorders>
              <w:top w:val="single" w:sz="2" w:space="0" w:color="000000"/>
              <w:bottom w:val="single" w:sz="2" w:space="0" w:color="000000"/>
            </w:tcBorders>
            <w:vAlign w:val="center"/>
          </w:tcPr>
          <w:p w14:paraId="3BB992D6" w14:textId="77777777" w:rsidR="000F7449" w:rsidRPr="00F8424F" w:rsidRDefault="000F7449" w:rsidP="00F8424F">
            <w:pPr>
              <w:pStyle w:val="NoSpacing"/>
              <w:ind w:left="252" w:hanging="252"/>
              <w:rPr>
                <w:rFonts w:cstheme="minorHAnsi"/>
                <w:b/>
                <w:sz w:val="18"/>
                <w:szCs w:val="18"/>
              </w:rPr>
            </w:pPr>
            <w:r w:rsidRPr="00F8424F">
              <w:rPr>
                <w:rFonts w:cstheme="minorHAnsi"/>
                <w:b/>
                <w:sz w:val="18"/>
                <w:szCs w:val="18"/>
              </w:rPr>
              <w:t>Core:</w:t>
            </w:r>
          </w:p>
          <w:p w14:paraId="5942F162" w14:textId="77777777" w:rsidR="000F7449" w:rsidRPr="00F8424F" w:rsidRDefault="000F7449" w:rsidP="00F8424F">
            <w:pPr>
              <w:pStyle w:val="NoSpacing"/>
              <w:ind w:left="252" w:hanging="252"/>
              <w:rPr>
                <w:rFonts w:cstheme="minorHAnsi"/>
                <w:sz w:val="18"/>
                <w:szCs w:val="18"/>
              </w:rPr>
            </w:pPr>
            <w:r w:rsidRPr="00F8424F">
              <w:rPr>
                <w:rFonts w:cstheme="minorHAnsi"/>
                <w:sz w:val="18"/>
                <w:szCs w:val="18"/>
              </w:rPr>
              <w:t xml:space="preserve">Ch. 3.  Dearing JW. Historical roots of dissemination and implementation science.  </w:t>
            </w:r>
          </w:p>
          <w:p w14:paraId="78332E0A" w14:textId="77777777" w:rsidR="000F7449" w:rsidRPr="00F8424F" w:rsidRDefault="000F7449" w:rsidP="00F8424F">
            <w:pPr>
              <w:pStyle w:val="NoSpacing"/>
              <w:ind w:left="252" w:hanging="252"/>
              <w:rPr>
                <w:rFonts w:cstheme="minorHAnsi"/>
                <w:sz w:val="18"/>
                <w:szCs w:val="18"/>
              </w:rPr>
            </w:pPr>
            <w:r w:rsidRPr="00F8424F">
              <w:rPr>
                <w:rFonts w:cstheme="minorHAnsi"/>
                <w:sz w:val="18"/>
                <w:szCs w:val="18"/>
              </w:rPr>
              <w:t>Ch. 5. Tabak RT. The Conceptual Basis for Dissemination and Implementation Research: Lessons from Existing Models and Frameworks</w:t>
            </w:r>
          </w:p>
          <w:p w14:paraId="5E7A35FC" w14:textId="77777777" w:rsidR="000F7449" w:rsidRPr="00F8424F" w:rsidRDefault="000F7449" w:rsidP="00F8424F">
            <w:pPr>
              <w:pStyle w:val="NoSpacing"/>
              <w:ind w:left="180" w:hanging="180"/>
              <w:rPr>
                <w:rFonts w:cstheme="minorHAnsi"/>
                <w:sz w:val="18"/>
                <w:szCs w:val="18"/>
              </w:rPr>
            </w:pPr>
            <w:r w:rsidRPr="00F8424F">
              <w:rPr>
                <w:rFonts w:cstheme="minorHAnsi"/>
                <w:sz w:val="18"/>
                <w:szCs w:val="18"/>
              </w:rPr>
              <w:t>Nilsen P. Making sense of implementation theories, models and frameworks. Implementation Science. 2015</w:t>
            </w:r>
            <w:proofErr w:type="gramStart"/>
            <w:r w:rsidRPr="00F8424F">
              <w:rPr>
                <w:rFonts w:cstheme="minorHAnsi"/>
                <w:sz w:val="18"/>
                <w:szCs w:val="18"/>
              </w:rPr>
              <w:t>;10:53</w:t>
            </w:r>
            <w:proofErr w:type="gramEnd"/>
            <w:r w:rsidRPr="00F8424F">
              <w:rPr>
                <w:rFonts w:cstheme="minorHAnsi"/>
                <w:sz w:val="18"/>
                <w:szCs w:val="18"/>
              </w:rPr>
              <w:t xml:space="preserve">. </w:t>
            </w:r>
          </w:p>
          <w:p w14:paraId="1175E43C" w14:textId="77777777" w:rsidR="000F7449" w:rsidRPr="00F8424F" w:rsidRDefault="000F7449" w:rsidP="00F8424F">
            <w:pPr>
              <w:pStyle w:val="NoSpacing"/>
              <w:ind w:left="180" w:hanging="180"/>
              <w:rPr>
                <w:rFonts w:cstheme="minorHAnsi"/>
                <w:sz w:val="18"/>
                <w:szCs w:val="18"/>
              </w:rPr>
            </w:pPr>
            <w:r w:rsidRPr="00F8424F">
              <w:rPr>
                <w:rFonts w:cstheme="minorHAnsi"/>
                <w:sz w:val="18"/>
                <w:szCs w:val="18"/>
                <w:shd w:val="clear" w:color="auto" w:fill="FFFFFF"/>
              </w:rPr>
              <w:t>Proctor, Enola K., et al. "Writing implementation research grant proposals: ten key ingredients." </w:t>
            </w:r>
            <w:r w:rsidRPr="00F8424F">
              <w:rPr>
                <w:rFonts w:cstheme="minorHAnsi"/>
                <w:i/>
                <w:iCs/>
                <w:sz w:val="18"/>
                <w:szCs w:val="18"/>
                <w:shd w:val="clear" w:color="auto" w:fill="FFFFFF"/>
              </w:rPr>
              <w:t>Implementation Science</w:t>
            </w:r>
            <w:r w:rsidRPr="00F8424F">
              <w:rPr>
                <w:rFonts w:cstheme="minorHAnsi"/>
                <w:sz w:val="18"/>
                <w:szCs w:val="18"/>
                <w:shd w:val="clear" w:color="auto" w:fill="FFFFFF"/>
              </w:rPr>
              <w:t>7.1 (2012): 96.</w:t>
            </w:r>
          </w:p>
          <w:p w14:paraId="72C1838C" w14:textId="77777777" w:rsidR="000F7449" w:rsidRPr="00F8424F" w:rsidRDefault="000F7449" w:rsidP="00F8424F">
            <w:pPr>
              <w:pStyle w:val="NoSpacing"/>
              <w:ind w:left="252" w:hanging="252"/>
              <w:rPr>
                <w:rFonts w:cstheme="minorHAnsi"/>
                <w:b/>
                <w:sz w:val="18"/>
                <w:szCs w:val="18"/>
              </w:rPr>
            </w:pPr>
            <w:r w:rsidRPr="00F8424F">
              <w:rPr>
                <w:rFonts w:cstheme="minorHAnsi"/>
                <w:b/>
                <w:sz w:val="18"/>
                <w:szCs w:val="18"/>
              </w:rPr>
              <w:t>Additional:</w:t>
            </w:r>
          </w:p>
          <w:p w14:paraId="04E08314" w14:textId="77777777" w:rsidR="000F7449" w:rsidRPr="00F8424F" w:rsidRDefault="000F7449" w:rsidP="00F8424F">
            <w:pPr>
              <w:pStyle w:val="NoSpacing1"/>
              <w:ind w:left="252" w:hanging="252"/>
              <w:rPr>
                <w:rFonts w:asciiTheme="minorHAnsi" w:hAnsiTheme="minorHAnsi" w:cstheme="minorHAnsi"/>
                <w:sz w:val="18"/>
                <w:szCs w:val="18"/>
              </w:rPr>
            </w:pPr>
            <w:proofErr w:type="spellStart"/>
            <w:r w:rsidRPr="00F8424F">
              <w:rPr>
                <w:rFonts w:asciiTheme="minorHAnsi" w:hAnsiTheme="minorHAnsi" w:cstheme="minorHAnsi"/>
                <w:sz w:val="18"/>
                <w:szCs w:val="18"/>
              </w:rPr>
              <w:t>Damschroder</w:t>
            </w:r>
            <w:proofErr w:type="spellEnd"/>
            <w:r w:rsidRPr="00F8424F">
              <w:rPr>
                <w:rFonts w:asciiTheme="minorHAnsi" w:hAnsiTheme="minorHAnsi" w:cstheme="minorHAnsi"/>
                <w:sz w:val="18"/>
                <w:szCs w:val="18"/>
              </w:rPr>
              <w:t xml:space="preserve"> LF, Aron DC, Keith RE, </w:t>
            </w:r>
            <w:proofErr w:type="spellStart"/>
            <w:r w:rsidRPr="00F8424F">
              <w:rPr>
                <w:rFonts w:asciiTheme="minorHAnsi" w:hAnsiTheme="minorHAnsi" w:cstheme="minorHAnsi"/>
                <w:sz w:val="18"/>
                <w:szCs w:val="18"/>
              </w:rPr>
              <w:t>Kirsh</w:t>
            </w:r>
            <w:proofErr w:type="spellEnd"/>
            <w:r w:rsidRPr="00F8424F">
              <w:rPr>
                <w:rFonts w:asciiTheme="minorHAnsi" w:hAnsiTheme="minorHAnsi" w:cstheme="minorHAnsi"/>
                <w:sz w:val="18"/>
                <w:szCs w:val="18"/>
              </w:rPr>
              <w:t xml:space="preserve"> SR, Alexander JA, Lowery JC.  Fostering implementation of health services research findings into practice: a consolidated framework for advancing implementation science. Implementation Science, 2009</w:t>
            </w:r>
            <w:proofErr w:type="gramStart"/>
            <w:r w:rsidRPr="00F8424F">
              <w:rPr>
                <w:rFonts w:asciiTheme="minorHAnsi" w:hAnsiTheme="minorHAnsi" w:cstheme="minorHAnsi"/>
                <w:sz w:val="18"/>
                <w:szCs w:val="18"/>
              </w:rPr>
              <w:t>;4:50</w:t>
            </w:r>
            <w:proofErr w:type="gramEnd"/>
            <w:r w:rsidRPr="00F8424F">
              <w:rPr>
                <w:rFonts w:asciiTheme="minorHAnsi" w:hAnsiTheme="minorHAnsi" w:cstheme="minorHAnsi"/>
                <w:sz w:val="18"/>
                <w:szCs w:val="18"/>
              </w:rPr>
              <w:t>.</w:t>
            </w:r>
          </w:p>
          <w:p w14:paraId="34115B6D" w14:textId="77777777" w:rsidR="000F7449" w:rsidRPr="00F8424F" w:rsidRDefault="000F7449" w:rsidP="00F8424F">
            <w:pPr>
              <w:pStyle w:val="NoSpacing1"/>
              <w:ind w:left="252" w:hanging="252"/>
              <w:rPr>
                <w:rFonts w:asciiTheme="minorHAnsi" w:hAnsiTheme="minorHAnsi" w:cstheme="minorHAnsi"/>
                <w:sz w:val="18"/>
                <w:szCs w:val="18"/>
              </w:rPr>
            </w:pPr>
            <w:proofErr w:type="spellStart"/>
            <w:r w:rsidRPr="00F8424F">
              <w:rPr>
                <w:rFonts w:asciiTheme="minorHAnsi" w:hAnsiTheme="minorHAnsi" w:cstheme="minorHAnsi"/>
                <w:sz w:val="18"/>
                <w:szCs w:val="18"/>
              </w:rPr>
              <w:t>Neta</w:t>
            </w:r>
            <w:proofErr w:type="spellEnd"/>
            <w:r w:rsidRPr="00F8424F">
              <w:rPr>
                <w:rFonts w:asciiTheme="minorHAnsi" w:hAnsiTheme="minorHAnsi" w:cstheme="minorHAnsi"/>
                <w:sz w:val="18"/>
                <w:szCs w:val="18"/>
              </w:rPr>
              <w:t xml:space="preserve"> G, Glasgow RE, Carpenter CR, </w:t>
            </w:r>
            <w:proofErr w:type="spellStart"/>
            <w:r w:rsidRPr="00F8424F">
              <w:rPr>
                <w:rFonts w:asciiTheme="minorHAnsi" w:hAnsiTheme="minorHAnsi" w:cstheme="minorHAnsi"/>
                <w:sz w:val="18"/>
                <w:szCs w:val="18"/>
              </w:rPr>
              <w:t>Grimshaw</w:t>
            </w:r>
            <w:proofErr w:type="spellEnd"/>
            <w:r w:rsidRPr="00F8424F">
              <w:rPr>
                <w:rFonts w:asciiTheme="minorHAnsi" w:hAnsiTheme="minorHAnsi" w:cstheme="minorHAnsi"/>
                <w:sz w:val="18"/>
                <w:szCs w:val="18"/>
              </w:rPr>
              <w:t xml:space="preserve"> JM, Rabin BA, Fernandez ME, et al. A Framework for Enhancing the Value of Research for Dissemination and Implementation. Am J Public Health. 2014 Jan</w:t>
            </w:r>
            <w:proofErr w:type="gramStart"/>
            <w:r w:rsidRPr="00F8424F">
              <w:rPr>
                <w:rFonts w:asciiTheme="minorHAnsi" w:hAnsiTheme="minorHAnsi" w:cstheme="minorHAnsi"/>
                <w:sz w:val="18"/>
                <w:szCs w:val="18"/>
              </w:rPr>
              <w:t>;105</w:t>
            </w:r>
            <w:proofErr w:type="gramEnd"/>
            <w:r w:rsidRPr="00F8424F">
              <w:rPr>
                <w:rFonts w:asciiTheme="minorHAnsi" w:hAnsiTheme="minorHAnsi" w:cstheme="minorHAnsi"/>
                <w:sz w:val="18"/>
                <w:szCs w:val="18"/>
              </w:rPr>
              <w:t>(1):49-57.</w:t>
            </w:r>
          </w:p>
          <w:p w14:paraId="5EEE6FD2" w14:textId="77777777" w:rsidR="000F7449" w:rsidRPr="00F8424F" w:rsidRDefault="000F7449" w:rsidP="00F8424F">
            <w:pPr>
              <w:spacing w:after="0" w:line="240" w:lineRule="auto"/>
              <w:ind w:left="187" w:hanging="187"/>
              <w:rPr>
                <w:rFonts w:cstheme="minorHAnsi"/>
                <w:sz w:val="18"/>
                <w:szCs w:val="18"/>
              </w:rPr>
            </w:pPr>
            <w:r w:rsidRPr="00F8424F">
              <w:rPr>
                <w:rFonts w:cstheme="minorHAnsi"/>
                <w:sz w:val="18"/>
                <w:szCs w:val="18"/>
              </w:rPr>
              <w:t>Kirk. A systematic review of the use of the Consolidated Framework for Implementation Research. Implementation Science (2016) 11:72</w:t>
            </w:r>
          </w:p>
          <w:p w14:paraId="4E584B19" w14:textId="1A237FE7" w:rsidR="004F68DA" w:rsidRPr="00F8424F" w:rsidRDefault="000F7449" w:rsidP="00F8424F">
            <w:pPr>
              <w:spacing w:after="0" w:line="240" w:lineRule="auto"/>
              <w:ind w:left="187" w:hanging="187"/>
              <w:rPr>
                <w:rFonts w:cs="Arial"/>
                <w:b/>
                <w:sz w:val="18"/>
                <w:szCs w:val="18"/>
              </w:rPr>
            </w:pPr>
            <w:proofErr w:type="spellStart"/>
            <w:r w:rsidRPr="00F8424F">
              <w:rPr>
                <w:rFonts w:cstheme="minorHAnsi"/>
                <w:sz w:val="18"/>
                <w:szCs w:val="18"/>
                <w:shd w:val="clear" w:color="auto" w:fill="FFFFFF"/>
              </w:rPr>
              <w:lastRenderedPageBreak/>
              <w:t>Crable</w:t>
            </w:r>
            <w:proofErr w:type="spellEnd"/>
            <w:r w:rsidRPr="00F8424F">
              <w:rPr>
                <w:rFonts w:cstheme="minorHAnsi"/>
                <w:sz w:val="18"/>
                <w:szCs w:val="18"/>
                <w:shd w:val="clear" w:color="auto" w:fill="FFFFFF"/>
              </w:rPr>
              <w:t>, Erika L., et al. "Standardizing an approach to the evaluation of implementation science proposals." </w:t>
            </w:r>
            <w:r w:rsidRPr="00F8424F">
              <w:rPr>
                <w:rFonts w:cstheme="minorHAnsi"/>
                <w:i/>
                <w:iCs/>
                <w:sz w:val="18"/>
                <w:szCs w:val="18"/>
                <w:shd w:val="clear" w:color="auto" w:fill="FFFFFF"/>
              </w:rPr>
              <w:t>Implementation Science</w:t>
            </w:r>
            <w:r w:rsidRPr="00F8424F">
              <w:rPr>
                <w:rFonts w:cstheme="minorHAnsi"/>
                <w:sz w:val="18"/>
                <w:szCs w:val="18"/>
                <w:shd w:val="clear" w:color="auto" w:fill="FFFFFF"/>
              </w:rPr>
              <w:t> 13.1 (2018): 71.</w:t>
            </w:r>
          </w:p>
        </w:tc>
      </w:tr>
      <w:tr w:rsidR="004F68DA" w:rsidRPr="00774157" w14:paraId="5AF6A2AE" w14:textId="2C45E290" w:rsidTr="00B361F3">
        <w:trPr>
          <w:trHeight w:val="432"/>
          <w:jc w:val="center"/>
        </w:trPr>
        <w:tc>
          <w:tcPr>
            <w:tcW w:w="695" w:type="dxa"/>
            <w:tcBorders>
              <w:top w:val="single" w:sz="2" w:space="0" w:color="000000"/>
              <w:bottom w:val="single" w:sz="2" w:space="0" w:color="000000"/>
            </w:tcBorders>
            <w:vAlign w:val="center"/>
          </w:tcPr>
          <w:p w14:paraId="59089B34" w14:textId="77777777" w:rsidR="00733322" w:rsidRPr="00BE3EE4" w:rsidRDefault="00733322" w:rsidP="00375C64">
            <w:pPr>
              <w:spacing w:after="0" w:line="240" w:lineRule="auto"/>
              <w:rPr>
                <w:rFonts w:cs="Arial"/>
                <w:b/>
                <w:sz w:val="20"/>
                <w:szCs w:val="20"/>
              </w:rPr>
            </w:pPr>
          </w:p>
          <w:p w14:paraId="2923D657" w14:textId="77777777" w:rsidR="004F68DA" w:rsidRPr="00F32131" w:rsidRDefault="004F68DA" w:rsidP="00375C64">
            <w:pPr>
              <w:spacing w:after="0" w:line="240" w:lineRule="auto"/>
              <w:rPr>
                <w:rFonts w:cs="Arial"/>
                <w:b/>
                <w:sz w:val="20"/>
                <w:szCs w:val="20"/>
              </w:rPr>
            </w:pPr>
            <w:r w:rsidRPr="00F32131">
              <w:rPr>
                <w:rFonts w:cs="Arial"/>
                <w:b/>
                <w:sz w:val="20"/>
                <w:szCs w:val="20"/>
              </w:rPr>
              <w:t>Class 5</w:t>
            </w:r>
          </w:p>
        </w:tc>
        <w:tc>
          <w:tcPr>
            <w:tcW w:w="928" w:type="dxa"/>
            <w:tcBorders>
              <w:top w:val="single" w:sz="2" w:space="0" w:color="000000"/>
              <w:bottom w:val="single" w:sz="2" w:space="0" w:color="000000"/>
            </w:tcBorders>
            <w:vAlign w:val="center"/>
          </w:tcPr>
          <w:p w14:paraId="7F33B1E7" w14:textId="420DA928" w:rsidR="004F68DA" w:rsidRPr="00F8424F" w:rsidRDefault="00167FA1" w:rsidP="00B361F3">
            <w:pPr>
              <w:spacing w:after="0" w:line="240" w:lineRule="auto"/>
              <w:rPr>
                <w:rFonts w:cs="Arial"/>
                <w:sz w:val="20"/>
                <w:szCs w:val="20"/>
              </w:rPr>
            </w:pPr>
            <w:r w:rsidRPr="00B361F3">
              <w:rPr>
                <w:rFonts w:cs="Arial"/>
                <w:sz w:val="20"/>
                <w:szCs w:val="20"/>
              </w:rPr>
              <w:t>Feb</w:t>
            </w:r>
            <w:r w:rsidR="00464C6B" w:rsidRPr="00B361F3">
              <w:rPr>
                <w:rFonts w:cs="Arial"/>
                <w:sz w:val="20"/>
                <w:szCs w:val="20"/>
              </w:rPr>
              <w:t>.</w:t>
            </w:r>
            <w:r w:rsidR="004F68DA" w:rsidRPr="00B361F3">
              <w:rPr>
                <w:rFonts w:cs="Arial"/>
                <w:sz w:val="20"/>
                <w:szCs w:val="20"/>
              </w:rPr>
              <w:t xml:space="preserve"> 1</w:t>
            </w:r>
            <w:r w:rsidRPr="00B361F3">
              <w:rPr>
                <w:rFonts w:cs="Arial"/>
                <w:sz w:val="20"/>
                <w:szCs w:val="20"/>
              </w:rPr>
              <w:t>2</w:t>
            </w:r>
          </w:p>
        </w:tc>
        <w:tc>
          <w:tcPr>
            <w:tcW w:w="1952" w:type="dxa"/>
            <w:tcBorders>
              <w:top w:val="single" w:sz="2" w:space="0" w:color="000000"/>
              <w:bottom w:val="single" w:sz="2" w:space="0" w:color="000000"/>
            </w:tcBorders>
            <w:vAlign w:val="center"/>
          </w:tcPr>
          <w:p w14:paraId="4E8A4142" w14:textId="21317B81" w:rsidR="004F68DA" w:rsidRPr="00B361F3" w:rsidRDefault="007D7204" w:rsidP="00F8424F">
            <w:pPr>
              <w:spacing w:after="0" w:line="240" w:lineRule="auto"/>
              <w:rPr>
                <w:rFonts w:cs="Arial"/>
                <w:sz w:val="20"/>
                <w:szCs w:val="20"/>
              </w:rPr>
            </w:pPr>
            <w:r w:rsidRPr="00F8424F">
              <w:rPr>
                <w:rFonts w:cstheme="minorHAnsi"/>
                <w:sz w:val="20"/>
                <w:szCs w:val="20"/>
              </w:rPr>
              <w:t>Implementation strategies</w:t>
            </w:r>
          </w:p>
          <w:p w14:paraId="572C5646" w14:textId="3A922C6A" w:rsidR="00733322" w:rsidRPr="00B361F3" w:rsidRDefault="00733322" w:rsidP="00F8424F">
            <w:pPr>
              <w:spacing w:after="0" w:line="240" w:lineRule="auto"/>
              <w:rPr>
                <w:rFonts w:cs="Arial"/>
                <w:sz w:val="20"/>
                <w:szCs w:val="20"/>
              </w:rPr>
            </w:pPr>
          </w:p>
        </w:tc>
        <w:tc>
          <w:tcPr>
            <w:tcW w:w="1258" w:type="dxa"/>
            <w:tcBorders>
              <w:top w:val="single" w:sz="2" w:space="0" w:color="000000"/>
              <w:bottom w:val="single" w:sz="2" w:space="0" w:color="000000"/>
            </w:tcBorders>
            <w:vAlign w:val="center"/>
          </w:tcPr>
          <w:p w14:paraId="2515E503" w14:textId="21039BD1" w:rsidR="004F68DA" w:rsidRPr="00BE3EE4" w:rsidRDefault="00CC414B" w:rsidP="00F8424F">
            <w:pPr>
              <w:spacing w:after="0" w:line="240" w:lineRule="auto"/>
              <w:rPr>
                <w:rFonts w:cs="Arial"/>
                <w:sz w:val="20"/>
                <w:szCs w:val="20"/>
              </w:rPr>
            </w:pPr>
            <w:r w:rsidRPr="00F8424F">
              <w:rPr>
                <w:rFonts w:cstheme="minorHAnsi"/>
                <w:sz w:val="20"/>
                <w:szCs w:val="20"/>
              </w:rPr>
              <w:t>First webinar discussion</w:t>
            </w:r>
          </w:p>
        </w:tc>
        <w:tc>
          <w:tcPr>
            <w:tcW w:w="6147" w:type="dxa"/>
            <w:tcBorders>
              <w:top w:val="single" w:sz="2" w:space="0" w:color="000000"/>
              <w:bottom w:val="single" w:sz="2" w:space="0" w:color="000000"/>
            </w:tcBorders>
            <w:vAlign w:val="center"/>
          </w:tcPr>
          <w:p w14:paraId="15662973" w14:textId="77777777" w:rsidR="00C64843" w:rsidRPr="00F8424F" w:rsidRDefault="00C64843" w:rsidP="00F8424F">
            <w:pPr>
              <w:pStyle w:val="NoSpacing"/>
              <w:ind w:left="252" w:hanging="252"/>
              <w:rPr>
                <w:rFonts w:cstheme="minorHAnsi"/>
                <w:b/>
                <w:sz w:val="18"/>
                <w:szCs w:val="18"/>
              </w:rPr>
            </w:pPr>
            <w:r w:rsidRPr="00F8424F">
              <w:rPr>
                <w:rFonts w:cstheme="minorHAnsi"/>
                <w:b/>
                <w:sz w:val="18"/>
                <w:szCs w:val="18"/>
              </w:rPr>
              <w:t>Core:</w:t>
            </w:r>
          </w:p>
          <w:p w14:paraId="0B50E0EB" w14:textId="77777777" w:rsidR="00C64843" w:rsidRPr="00F8424F" w:rsidRDefault="00C64843" w:rsidP="00F8424F">
            <w:pPr>
              <w:pStyle w:val="NoSpacing"/>
              <w:ind w:left="180" w:hanging="180"/>
              <w:rPr>
                <w:rFonts w:cstheme="minorHAnsi"/>
                <w:sz w:val="18"/>
                <w:szCs w:val="18"/>
              </w:rPr>
            </w:pPr>
            <w:r w:rsidRPr="00F8424F">
              <w:rPr>
                <w:rFonts w:cstheme="minorHAnsi"/>
                <w:sz w:val="18"/>
                <w:szCs w:val="18"/>
              </w:rPr>
              <w:t>Ch. 15. Implementation Strategies</w:t>
            </w:r>
          </w:p>
          <w:p w14:paraId="38D15D6E" w14:textId="77777777" w:rsidR="00C64843" w:rsidRPr="00F8424F" w:rsidRDefault="00C64843" w:rsidP="00F8424F">
            <w:pPr>
              <w:pStyle w:val="NoSpacing"/>
              <w:ind w:left="180" w:hanging="180"/>
              <w:rPr>
                <w:rFonts w:cstheme="minorHAnsi"/>
                <w:sz w:val="18"/>
                <w:szCs w:val="18"/>
              </w:rPr>
            </w:pPr>
            <w:proofErr w:type="spellStart"/>
            <w:r w:rsidRPr="00F8424F">
              <w:rPr>
                <w:rFonts w:cstheme="minorHAnsi"/>
                <w:sz w:val="18"/>
                <w:szCs w:val="18"/>
              </w:rPr>
              <w:t>Leeman</w:t>
            </w:r>
            <w:proofErr w:type="spellEnd"/>
            <w:r w:rsidRPr="00F8424F">
              <w:rPr>
                <w:rFonts w:cstheme="minorHAnsi"/>
                <w:sz w:val="18"/>
                <w:szCs w:val="18"/>
              </w:rPr>
              <w:t>. Beyond “implementation strategies”-classifying the full range of strategies used in IS and practice. Implementation Science (2017) 12:125</w:t>
            </w:r>
          </w:p>
          <w:p w14:paraId="52FA186E" w14:textId="77777777" w:rsidR="00C64843" w:rsidRPr="00F8424F" w:rsidRDefault="00C64843" w:rsidP="00F8424F">
            <w:pPr>
              <w:pStyle w:val="NoSpacing"/>
              <w:ind w:left="180" w:hanging="180"/>
              <w:rPr>
                <w:rFonts w:cstheme="minorHAnsi"/>
                <w:sz w:val="18"/>
                <w:szCs w:val="18"/>
              </w:rPr>
            </w:pPr>
            <w:r w:rsidRPr="00F8424F">
              <w:rPr>
                <w:rFonts w:cstheme="minorHAnsi"/>
                <w:sz w:val="18"/>
                <w:szCs w:val="18"/>
              </w:rPr>
              <w:t>Powell. A refined compilation of implementation strategies results from the Expert Recommendations for Implementing Change (ERIC) project. Implementation Science (2015) 10:21</w:t>
            </w:r>
          </w:p>
          <w:p w14:paraId="5F881B23" w14:textId="77777777" w:rsidR="00C64843" w:rsidRPr="00F8424F" w:rsidRDefault="00C64843" w:rsidP="00F8424F">
            <w:pPr>
              <w:pStyle w:val="NoSpacing"/>
              <w:ind w:left="252" w:hanging="252"/>
              <w:rPr>
                <w:rFonts w:cstheme="minorHAnsi"/>
                <w:b/>
                <w:sz w:val="18"/>
                <w:szCs w:val="18"/>
              </w:rPr>
            </w:pPr>
            <w:r w:rsidRPr="00F8424F">
              <w:rPr>
                <w:rFonts w:cstheme="minorHAnsi"/>
                <w:b/>
                <w:sz w:val="18"/>
                <w:szCs w:val="18"/>
              </w:rPr>
              <w:t>Additional:</w:t>
            </w:r>
          </w:p>
          <w:p w14:paraId="0385EC21" w14:textId="77777777" w:rsidR="00C64843" w:rsidRPr="00F8424F" w:rsidRDefault="00C64843" w:rsidP="00F8424F">
            <w:pPr>
              <w:pStyle w:val="NoSpacing"/>
              <w:ind w:left="180" w:hanging="180"/>
              <w:rPr>
                <w:rFonts w:cstheme="minorHAnsi"/>
                <w:sz w:val="18"/>
                <w:szCs w:val="18"/>
              </w:rPr>
            </w:pPr>
            <w:r w:rsidRPr="00F8424F">
              <w:rPr>
                <w:rFonts w:cstheme="minorHAnsi"/>
                <w:sz w:val="18"/>
                <w:szCs w:val="18"/>
              </w:rPr>
              <w:t>Lewis. From Classification to Causality-Advancing Understanding of Mechanisms of Change in IS. Front. Public Health (2018) 6:136.</w:t>
            </w:r>
          </w:p>
          <w:p w14:paraId="43C05C5E" w14:textId="77777777" w:rsidR="00C64843" w:rsidRPr="00F8424F" w:rsidRDefault="00C64843" w:rsidP="00F8424F">
            <w:pPr>
              <w:pStyle w:val="NoSpacing"/>
              <w:ind w:left="180" w:hanging="180"/>
              <w:rPr>
                <w:rFonts w:cstheme="minorHAnsi"/>
                <w:sz w:val="18"/>
                <w:szCs w:val="18"/>
              </w:rPr>
            </w:pPr>
            <w:r w:rsidRPr="00F8424F">
              <w:rPr>
                <w:rFonts w:cstheme="minorHAnsi"/>
                <w:sz w:val="18"/>
                <w:szCs w:val="18"/>
              </w:rPr>
              <w:t xml:space="preserve">Proctor EK, Powell BJ, </w:t>
            </w:r>
            <w:proofErr w:type="spellStart"/>
            <w:r w:rsidRPr="00F8424F">
              <w:rPr>
                <w:rFonts w:cstheme="minorHAnsi"/>
                <w:sz w:val="18"/>
                <w:szCs w:val="18"/>
              </w:rPr>
              <w:t>McMillen</w:t>
            </w:r>
            <w:proofErr w:type="spellEnd"/>
            <w:r w:rsidRPr="00F8424F">
              <w:rPr>
                <w:rFonts w:cstheme="minorHAnsi"/>
                <w:sz w:val="18"/>
                <w:szCs w:val="18"/>
              </w:rPr>
              <w:t xml:space="preserve"> JC. Implementation strategies: recommendations for specifying and reporting. </w:t>
            </w:r>
            <w:r w:rsidRPr="00F8424F">
              <w:rPr>
                <w:rFonts w:cstheme="minorHAnsi"/>
                <w:i/>
                <w:sz w:val="18"/>
                <w:szCs w:val="18"/>
              </w:rPr>
              <w:t xml:space="preserve">Implement Sci. </w:t>
            </w:r>
            <w:r w:rsidRPr="00F8424F">
              <w:rPr>
                <w:rFonts w:cstheme="minorHAnsi"/>
                <w:sz w:val="18"/>
                <w:szCs w:val="18"/>
              </w:rPr>
              <w:t>2013</w:t>
            </w:r>
            <w:proofErr w:type="gramStart"/>
            <w:r w:rsidRPr="00F8424F">
              <w:rPr>
                <w:rFonts w:cstheme="minorHAnsi"/>
                <w:sz w:val="18"/>
                <w:szCs w:val="18"/>
              </w:rPr>
              <w:t>;8:139</w:t>
            </w:r>
            <w:proofErr w:type="gramEnd"/>
            <w:r w:rsidRPr="00F8424F">
              <w:rPr>
                <w:rFonts w:cstheme="minorHAnsi"/>
                <w:sz w:val="18"/>
                <w:szCs w:val="18"/>
              </w:rPr>
              <w:t>.</w:t>
            </w:r>
          </w:p>
          <w:p w14:paraId="1011780C" w14:textId="45A46CB2" w:rsidR="004F68DA" w:rsidRPr="00F8424F" w:rsidRDefault="00C64843" w:rsidP="00F8424F">
            <w:pPr>
              <w:spacing w:after="0" w:line="240" w:lineRule="auto"/>
              <w:rPr>
                <w:rFonts w:cs="Arial"/>
                <w:sz w:val="18"/>
                <w:szCs w:val="18"/>
              </w:rPr>
            </w:pPr>
            <w:r w:rsidRPr="00F8424F">
              <w:rPr>
                <w:rFonts w:cstheme="minorHAnsi"/>
                <w:sz w:val="18"/>
                <w:szCs w:val="18"/>
              </w:rPr>
              <w:t xml:space="preserve">Powell BJ, </w:t>
            </w:r>
            <w:proofErr w:type="spellStart"/>
            <w:r w:rsidRPr="00F8424F">
              <w:rPr>
                <w:rFonts w:cstheme="minorHAnsi"/>
                <w:sz w:val="18"/>
                <w:szCs w:val="18"/>
              </w:rPr>
              <w:t>McMillen</w:t>
            </w:r>
            <w:proofErr w:type="spellEnd"/>
            <w:r w:rsidRPr="00F8424F">
              <w:rPr>
                <w:rFonts w:cstheme="minorHAnsi"/>
                <w:sz w:val="18"/>
                <w:szCs w:val="18"/>
              </w:rPr>
              <w:t xml:space="preserve"> JC, Proctor EK, et al. A compilation of strategies for implementing clinical innovations in health and mental health. </w:t>
            </w:r>
            <w:r w:rsidRPr="00F8424F">
              <w:rPr>
                <w:rFonts w:cstheme="minorHAnsi"/>
                <w:i/>
                <w:sz w:val="18"/>
                <w:szCs w:val="18"/>
              </w:rPr>
              <w:t xml:space="preserve">Med Care Res Rev. </w:t>
            </w:r>
            <w:r w:rsidRPr="00F8424F">
              <w:rPr>
                <w:rFonts w:cstheme="minorHAnsi"/>
                <w:sz w:val="18"/>
                <w:szCs w:val="18"/>
              </w:rPr>
              <w:t>Apr 2011</w:t>
            </w:r>
            <w:proofErr w:type="gramStart"/>
            <w:r w:rsidRPr="00F8424F">
              <w:rPr>
                <w:rFonts w:cstheme="minorHAnsi"/>
                <w:sz w:val="18"/>
                <w:szCs w:val="18"/>
              </w:rPr>
              <w:t>;69</w:t>
            </w:r>
            <w:proofErr w:type="gramEnd"/>
            <w:r w:rsidRPr="00F8424F">
              <w:rPr>
                <w:rFonts w:cstheme="minorHAnsi"/>
                <w:sz w:val="18"/>
                <w:szCs w:val="18"/>
              </w:rPr>
              <w:t>(2):123-157.</w:t>
            </w:r>
          </w:p>
        </w:tc>
      </w:tr>
      <w:tr w:rsidR="004F68DA" w:rsidRPr="00774157" w14:paraId="2D4631B0" w14:textId="09370DA6" w:rsidTr="00B361F3">
        <w:trPr>
          <w:trHeight w:val="432"/>
          <w:jc w:val="center"/>
        </w:trPr>
        <w:tc>
          <w:tcPr>
            <w:tcW w:w="695" w:type="dxa"/>
            <w:tcBorders>
              <w:top w:val="single" w:sz="2" w:space="0" w:color="000000"/>
              <w:bottom w:val="single" w:sz="2" w:space="0" w:color="000000"/>
            </w:tcBorders>
            <w:vAlign w:val="center"/>
          </w:tcPr>
          <w:p w14:paraId="42CBD297" w14:textId="77777777" w:rsidR="004F68DA" w:rsidRPr="00BE3EE4" w:rsidRDefault="004F68DA" w:rsidP="00375C64">
            <w:pPr>
              <w:spacing w:after="0" w:line="240" w:lineRule="auto"/>
              <w:rPr>
                <w:rFonts w:cs="Arial"/>
                <w:b/>
                <w:sz w:val="20"/>
                <w:szCs w:val="20"/>
              </w:rPr>
            </w:pPr>
            <w:r w:rsidRPr="00BE3EE4">
              <w:rPr>
                <w:rFonts w:cs="Arial"/>
                <w:b/>
                <w:sz w:val="20"/>
                <w:szCs w:val="20"/>
              </w:rPr>
              <w:t>Class 6</w:t>
            </w:r>
          </w:p>
        </w:tc>
        <w:tc>
          <w:tcPr>
            <w:tcW w:w="928" w:type="dxa"/>
            <w:tcBorders>
              <w:top w:val="single" w:sz="2" w:space="0" w:color="000000"/>
              <w:bottom w:val="single" w:sz="2" w:space="0" w:color="000000"/>
            </w:tcBorders>
            <w:vAlign w:val="center"/>
          </w:tcPr>
          <w:p w14:paraId="42A99A23" w14:textId="3231A30D" w:rsidR="004F68DA" w:rsidRPr="00B361F3" w:rsidRDefault="00AB0CCC" w:rsidP="00F32131">
            <w:pPr>
              <w:spacing w:after="0" w:line="240" w:lineRule="auto"/>
              <w:rPr>
                <w:rFonts w:cs="Arial"/>
                <w:sz w:val="20"/>
                <w:szCs w:val="20"/>
              </w:rPr>
            </w:pPr>
            <w:r w:rsidRPr="00F32131">
              <w:rPr>
                <w:rFonts w:cs="Arial"/>
                <w:sz w:val="20"/>
                <w:szCs w:val="20"/>
              </w:rPr>
              <w:t>Feb</w:t>
            </w:r>
            <w:r w:rsidR="00464C6B" w:rsidRPr="00F32131">
              <w:rPr>
                <w:rFonts w:cs="Arial"/>
                <w:sz w:val="20"/>
                <w:szCs w:val="20"/>
              </w:rPr>
              <w:t>.</w:t>
            </w:r>
            <w:r w:rsidR="004F68DA" w:rsidRPr="00B361F3">
              <w:rPr>
                <w:rFonts w:cs="Arial"/>
                <w:sz w:val="20"/>
                <w:szCs w:val="20"/>
              </w:rPr>
              <w:t xml:space="preserve"> </w:t>
            </w:r>
            <w:r w:rsidRPr="00B361F3">
              <w:rPr>
                <w:rFonts w:cs="Arial"/>
                <w:sz w:val="20"/>
                <w:szCs w:val="20"/>
              </w:rPr>
              <w:t>19</w:t>
            </w:r>
          </w:p>
        </w:tc>
        <w:tc>
          <w:tcPr>
            <w:tcW w:w="1952" w:type="dxa"/>
            <w:tcBorders>
              <w:top w:val="single" w:sz="2" w:space="0" w:color="000000"/>
              <w:bottom w:val="single" w:sz="2" w:space="0" w:color="000000"/>
            </w:tcBorders>
            <w:vAlign w:val="center"/>
          </w:tcPr>
          <w:p w14:paraId="2A4D764F" w14:textId="0D34C0CD" w:rsidR="0052333F" w:rsidRPr="00A70111" w:rsidRDefault="0052333F" w:rsidP="00F32131">
            <w:pPr>
              <w:pStyle w:val="NoSpacing"/>
              <w:rPr>
                <w:rFonts w:cstheme="minorHAnsi"/>
                <w:sz w:val="20"/>
                <w:szCs w:val="20"/>
              </w:rPr>
            </w:pPr>
            <w:r w:rsidRPr="00A70111">
              <w:rPr>
                <w:rFonts w:cstheme="minorHAnsi"/>
                <w:sz w:val="20"/>
                <w:szCs w:val="20"/>
              </w:rPr>
              <w:t>Context/ External validity</w:t>
            </w:r>
          </w:p>
          <w:p w14:paraId="3BD53098" w14:textId="77777777" w:rsidR="0052333F" w:rsidRPr="00A70111" w:rsidRDefault="0052333F" w:rsidP="00B361F3">
            <w:pPr>
              <w:pStyle w:val="NoSpacing"/>
              <w:rPr>
                <w:rFonts w:cstheme="minorHAnsi"/>
                <w:sz w:val="20"/>
                <w:szCs w:val="20"/>
              </w:rPr>
            </w:pPr>
          </w:p>
          <w:p w14:paraId="34F81B90" w14:textId="5081AF12" w:rsidR="00733322" w:rsidRPr="00A70111" w:rsidRDefault="0052333F" w:rsidP="00A70111">
            <w:pPr>
              <w:spacing w:after="0" w:line="240" w:lineRule="auto"/>
              <w:rPr>
                <w:rFonts w:cs="Arial"/>
                <w:sz w:val="20"/>
                <w:szCs w:val="20"/>
              </w:rPr>
            </w:pPr>
            <w:r w:rsidRPr="00A70111">
              <w:rPr>
                <w:rFonts w:cstheme="minorHAnsi"/>
                <w:sz w:val="20"/>
                <w:szCs w:val="20"/>
              </w:rPr>
              <w:t>D&amp;I</w:t>
            </w:r>
            <w:r w:rsidRPr="00A70111">
              <w:rPr>
                <w:rFonts w:cstheme="minorHAnsi"/>
                <w:sz w:val="20"/>
                <w:szCs w:val="20"/>
              </w:rPr>
              <w:sym w:font="Wingdings" w:char="F0E0"/>
            </w:r>
            <w:r w:rsidRPr="00A70111">
              <w:rPr>
                <w:rFonts w:cstheme="minorHAnsi"/>
                <w:sz w:val="20"/>
                <w:szCs w:val="20"/>
              </w:rPr>
              <w:t>multi-level</w:t>
            </w:r>
          </w:p>
        </w:tc>
        <w:tc>
          <w:tcPr>
            <w:tcW w:w="1258" w:type="dxa"/>
            <w:tcBorders>
              <w:top w:val="single" w:sz="2" w:space="0" w:color="000000"/>
              <w:bottom w:val="single" w:sz="2" w:space="0" w:color="000000"/>
            </w:tcBorders>
            <w:vAlign w:val="center"/>
          </w:tcPr>
          <w:p w14:paraId="08C32557" w14:textId="75715BFD" w:rsidR="004F68DA" w:rsidRPr="00BE3EE4" w:rsidRDefault="0052333F" w:rsidP="00A70111">
            <w:pPr>
              <w:spacing w:after="0" w:line="240" w:lineRule="auto"/>
              <w:rPr>
                <w:rFonts w:cs="Arial"/>
                <w:sz w:val="20"/>
                <w:szCs w:val="20"/>
              </w:rPr>
            </w:pPr>
            <w:r w:rsidRPr="00A70111">
              <w:rPr>
                <w:rFonts w:cstheme="minorHAnsi"/>
                <w:sz w:val="20"/>
                <w:szCs w:val="20"/>
              </w:rPr>
              <w:t xml:space="preserve">Due: </w:t>
            </w:r>
            <w:r w:rsidRPr="00A70111">
              <w:rPr>
                <w:rFonts w:eastAsia="Times New Roman" w:cstheme="minorHAnsi"/>
                <w:sz w:val="20"/>
                <w:szCs w:val="20"/>
              </w:rPr>
              <w:t>Quality gap and evidence base for final project assignment</w:t>
            </w:r>
          </w:p>
        </w:tc>
        <w:tc>
          <w:tcPr>
            <w:tcW w:w="6147" w:type="dxa"/>
            <w:tcBorders>
              <w:top w:val="single" w:sz="2" w:space="0" w:color="000000"/>
              <w:bottom w:val="single" w:sz="2" w:space="0" w:color="000000"/>
            </w:tcBorders>
            <w:vAlign w:val="center"/>
          </w:tcPr>
          <w:p w14:paraId="1DD9C0F0" w14:textId="77777777" w:rsidR="00AA3DD6" w:rsidRPr="00A70111" w:rsidRDefault="00AA3DD6" w:rsidP="00A70111">
            <w:pPr>
              <w:pStyle w:val="NoSpacing"/>
              <w:ind w:left="252" w:hanging="252"/>
              <w:rPr>
                <w:rFonts w:cstheme="minorHAnsi"/>
                <w:b/>
                <w:sz w:val="18"/>
                <w:szCs w:val="18"/>
              </w:rPr>
            </w:pPr>
            <w:r w:rsidRPr="00A70111">
              <w:rPr>
                <w:rFonts w:cstheme="minorHAnsi"/>
                <w:b/>
                <w:sz w:val="18"/>
                <w:szCs w:val="18"/>
              </w:rPr>
              <w:t>Core:</w:t>
            </w:r>
          </w:p>
          <w:p w14:paraId="45CB6737" w14:textId="77777777" w:rsidR="00AA3DD6" w:rsidRPr="00A70111" w:rsidRDefault="00AA3DD6" w:rsidP="00A70111">
            <w:pPr>
              <w:spacing w:after="0" w:line="240" w:lineRule="auto"/>
              <w:ind w:left="252" w:hanging="252"/>
              <w:rPr>
                <w:rFonts w:cstheme="minorHAnsi"/>
                <w:sz w:val="18"/>
                <w:szCs w:val="18"/>
              </w:rPr>
            </w:pPr>
            <w:r w:rsidRPr="00A70111">
              <w:rPr>
                <w:rFonts w:cstheme="minorHAnsi"/>
                <w:sz w:val="18"/>
                <w:szCs w:val="18"/>
              </w:rPr>
              <w:t xml:space="preserve">Huebschmann. Making Health Research Matter: A Call to Increase Attention to External Validity. </w:t>
            </w:r>
            <w:r w:rsidRPr="00A70111">
              <w:rPr>
                <w:rFonts w:cstheme="minorHAnsi"/>
                <w:i/>
                <w:sz w:val="18"/>
                <w:szCs w:val="18"/>
              </w:rPr>
              <w:t>ARPH</w:t>
            </w:r>
            <w:r w:rsidRPr="00A70111">
              <w:rPr>
                <w:rFonts w:cstheme="minorHAnsi"/>
                <w:sz w:val="18"/>
                <w:szCs w:val="18"/>
              </w:rPr>
              <w:t>. 2018.</w:t>
            </w:r>
          </w:p>
          <w:p w14:paraId="27439361" w14:textId="77777777" w:rsidR="00AA3DD6" w:rsidRPr="00A70111" w:rsidRDefault="00AA3DD6" w:rsidP="00A70111">
            <w:pPr>
              <w:spacing w:after="0" w:line="240" w:lineRule="auto"/>
              <w:ind w:left="252" w:hanging="252"/>
              <w:rPr>
                <w:rFonts w:cstheme="minorHAnsi"/>
                <w:sz w:val="18"/>
                <w:szCs w:val="18"/>
              </w:rPr>
            </w:pPr>
            <w:r w:rsidRPr="00A70111">
              <w:rPr>
                <w:rFonts w:cstheme="minorHAnsi"/>
                <w:sz w:val="18"/>
                <w:szCs w:val="18"/>
              </w:rPr>
              <w:t>Ch. 18.  Green LJW. Furthering Dissemination and Implementation Research: The Need for More Attention to External Validity.</w:t>
            </w:r>
          </w:p>
          <w:p w14:paraId="6679C761" w14:textId="77777777" w:rsidR="00AA3DD6" w:rsidRPr="00A70111" w:rsidRDefault="00AA3DD6" w:rsidP="00A70111">
            <w:pPr>
              <w:pStyle w:val="NoSpacing"/>
              <w:ind w:left="252" w:hanging="252"/>
              <w:rPr>
                <w:rFonts w:cstheme="minorHAnsi"/>
                <w:b/>
                <w:sz w:val="18"/>
                <w:szCs w:val="18"/>
              </w:rPr>
            </w:pPr>
            <w:r w:rsidRPr="00A70111">
              <w:rPr>
                <w:rFonts w:cstheme="minorHAnsi"/>
                <w:b/>
                <w:sz w:val="18"/>
                <w:szCs w:val="18"/>
              </w:rPr>
              <w:t>Additional:</w:t>
            </w:r>
          </w:p>
          <w:p w14:paraId="68E2B797" w14:textId="77777777" w:rsidR="00AA3DD6" w:rsidRPr="00A70111" w:rsidRDefault="00AA3DD6" w:rsidP="00A70111">
            <w:pPr>
              <w:spacing w:after="0" w:line="240" w:lineRule="auto"/>
              <w:ind w:left="252" w:hanging="252"/>
              <w:rPr>
                <w:rFonts w:cstheme="minorHAnsi"/>
                <w:sz w:val="18"/>
                <w:szCs w:val="18"/>
              </w:rPr>
            </w:pPr>
            <w:r w:rsidRPr="00A70111">
              <w:rPr>
                <w:rFonts w:cstheme="minorHAnsi"/>
                <w:sz w:val="18"/>
                <w:szCs w:val="18"/>
                <w:shd w:val="clear" w:color="auto" w:fill="FFFFFF"/>
              </w:rPr>
              <w:t>Glasgow, Russell E., and Karen M. Emmons. "How can we increase translation of research into practice? Types of evidence needed." </w:t>
            </w:r>
            <w:proofErr w:type="spellStart"/>
            <w:r w:rsidRPr="00A70111">
              <w:rPr>
                <w:rFonts w:cstheme="minorHAnsi"/>
                <w:i/>
                <w:iCs/>
                <w:sz w:val="18"/>
                <w:szCs w:val="18"/>
                <w:shd w:val="clear" w:color="auto" w:fill="FFFFFF"/>
              </w:rPr>
              <w:t>Annu</w:t>
            </w:r>
            <w:proofErr w:type="spellEnd"/>
            <w:r w:rsidRPr="00A70111">
              <w:rPr>
                <w:rFonts w:cstheme="minorHAnsi"/>
                <w:i/>
                <w:iCs/>
                <w:sz w:val="18"/>
                <w:szCs w:val="18"/>
                <w:shd w:val="clear" w:color="auto" w:fill="FFFFFF"/>
              </w:rPr>
              <w:t>. Rev. Public Health</w:t>
            </w:r>
            <w:r w:rsidRPr="00A70111">
              <w:rPr>
                <w:rFonts w:cstheme="minorHAnsi"/>
                <w:sz w:val="18"/>
                <w:szCs w:val="18"/>
                <w:shd w:val="clear" w:color="auto" w:fill="FFFFFF"/>
              </w:rPr>
              <w:t> 28 (2007): 413-433.</w:t>
            </w:r>
          </w:p>
          <w:p w14:paraId="0F196972" w14:textId="77777777" w:rsidR="00D77FC9" w:rsidRPr="00A70111" w:rsidRDefault="00AA3DD6" w:rsidP="00A70111">
            <w:pPr>
              <w:pStyle w:val="NoSpacing"/>
              <w:ind w:left="252" w:hanging="252"/>
              <w:rPr>
                <w:rFonts w:cstheme="minorHAnsi"/>
                <w:sz w:val="18"/>
                <w:szCs w:val="18"/>
              </w:rPr>
            </w:pPr>
            <w:r w:rsidRPr="00A70111">
              <w:rPr>
                <w:rFonts w:cstheme="minorHAnsi"/>
                <w:sz w:val="18"/>
                <w:szCs w:val="18"/>
              </w:rPr>
              <w:t>Green LW, Glasgow RE. 2006. Evaluating the Relevance, Generalization, and Applicability of Research: Issues in External Validation and Translation Methodology</w:t>
            </w:r>
            <w:r w:rsidRPr="00A70111">
              <w:rPr>
                <w:rFonts w:cstheme="minorHAnsi"/>
                <w:i/>
                <w:sz w:val="18"/>
                <w:szCs w:val="18"/>
              </w:rPr>
              <w:t>. Evaluation &amp; The Health Professions</w:t>
            </w:r>
            <w:proofErr w:type="gramStart"/>
            <w:r w:rsidR="00D77FC9" w:rsidRPr="00A70111">
              <w:rPr>
                <w:rFonts w:cstheme="minorHAnsi"/>
                <w:sz w:val="18"/>
                <w:szCs w:val="18"/>
              </w:rPr>
              <w:t>;29</w:t>
            </w:r>
            <w:proofErr w:type="gramEnd"/>
            <w:r w:rsidR="00D77FC9" w:rsidRPr="00A70111">
              <w:rPr>
                <w:rFonts w:cstheme="minorHAnsi"/>
                <w:sz w:val="18"/>
                <w:szCs w:val="18"/>
              </w:rPr>
              <w:t>(1):126-153.</w:t>
            </w:r>
          </w:p>
          <w:p w14:paraId="20135001" w14:textId="178CC976" w:rsidR="004F68DA" w:rsidRPr="00A70111" w:rsidRDefault="00AA3DD6" w:rsidP="00A70111">
            <w:pPr>
              <w:pStyle w:val="NoSpacing"/>
              <w:ind w:left="252" w:hanging="252"/>
              <w:rPr>
                <w:rFonts w:cstheme="minorHAnsi"/>
                <w:sz w:val="18"/>
                <w:szCs w:val="18"/>
              </w:rPr>
            </w:pPr>
            <w:proofErr w:type="spellStart"/>
            <w:r w:rsidRPr="00A70111">
              <w:rPr>
                <w:rFonts w:cstheme="minorHAnsi"/>
                <w:sz w:val="18"/>
                <w:szCs w:val="18"/>
              </w:rPr>
              <w:t>Klesges</w:t>
            </w:r>
            <w:proofErr w:type="spellEnd"/>
            <w:r w:rsidRPr="00A70111">
              <w:rPr>
                <w:rFonts w:cstheme="minorHAnsi"/>
                <w:sz w:val="18"/>
                <w:szCs w:val="18"/>
              </w:rPr>
              <w:t xml:space="preserve"> LM, </w:t>
            </w:r>
            <w:proofErr w:type="spellStart"/>
            <w:r w:rsidRPr="00A70111">
              <w:rPr>
                <w:rFonts w:cstheme="minorHAnsi"/>
                <w:sz w:val="18"/>
                <w:szCs w:val="18"/>
              </w:rPr>
              <w:t>Dzewaltowski</w:t>
            </w:r>
            <w:proofErr w:type="spellEnd"/>
            <w:r w:rsidRPr="00A70111">
              <w:rPr>
                <w:rFonts w:cstheme="minorHAnsi"/>
                <w:sz w:val="18"/>
                <w:szCs w:val="18"/>
              </w:rPr>
              <w:t xml:space="preserve"> DA, Glasgow RE. 2008. Review of external validity reporting in childhood obesity prevention research. </w:t>
            </w:r>
            <w:r w:rsidRPr="00A70111">
              <w:rPr>
                <w:rFonts w:cstheme="minorHAnsi"/>
                <w:i/>
                <w:sz w:val="18"/>
                <w:szCs w:val="18"/>
              </w:rPr>
              <w:t xml:space="preserve">Am J </w:t>
            </w:r>
            <w:proofErr w:type="spellStart"/>
            <w:r w:rsidRPr="00A70111">
              <w:rPr>
                <w:rFonts w:cstheme="minorHAnsi"/>
                <w:i/>
                <w:sz w:val="18"/>
                <w:szCs w:val="18"/>
              </w:rPr>
              <w:t>Prev</w:t>
            </w:r>
            <w:proofErr w:type="spellEnd"/>
            <w:r w:rsidRPr="00A70111">
              <w:rPr>
                <w:rFonts w:cstheme="minorHAnsi"/>
                <w:i/>
                <w:sz w:val="18"/>
                <w:szCs w:val="18"/>
              </w:rPr>
              <w:t xml:space="preserve"> Med</w:t>
            </w:r>
            <w:proofErr w:type="gramStart"/>
            <w:r w:rsidRPr="00A70111">
              <w:rPr>
                <w:rFonts w:cstheme="minorHAnsi"/>
                <w:sz w:val="18"/>
                <w:szCs w:val="18"/>
              </w:rPr>
              <w:t>;34</w:t>
            </w:r>
            <w:proofErr w:type="gramEnd"/>
            <w:r w:rsidRPr="00A70111">
              <w:rPr>
                <w:rFonts w:cstheme="minorHAnsi"/>
                <w:sz w:val="18"/>
                <w:szCs w:val="18"/>
              </w:rPr>
              <w:t>(3):216-23.</w:t>
            </w:r>
          </w:p>
        </w:tc>
      </w:tr>
      <w:tr w:rsidR="004F68DA" w:rsidRPr="00774157" w14:paraId="3C4C03DA" w14:textId="1FF100C5" w:rsidTr="00B361F3">
        <w:trPr>
          <w:trHeight w:val="432"/>
          <w:jc w:val="center"/>
        </w:trPr>
        <w:tc>
          <w:tcPr>
            <w:tcW w:w="695" w:type="dxa"/>
            <w:tcBorders>
              <w:top w:val="single" w:sz="2" w:space="0" w:color="000000"/>
              <w:bottom w:val="single" w:sz="2" w:space="0" w:color="000000"/>
            </w:tcBorders>
            <w:vAlign w:val="center"/>
          </w:tcPr>
          <w:p w14:paraId="78ED06A0" w14:textId="77777777" w:rsidR="004F68DA" w:rsidRPr="00BE3EE4" w:rsidRDefault="004F68DA" w:rsidP="00375C64">
            <w:pPr>
              <w:spacing w:after="0" w:line="240" w:lineRule="auto"/>
              <w:rPr>
                <w:rFonts w:cs="Arial"/>
                <w:b/>
                <w:sz w:val="20"/>
                <w:szCs w:val="20"/>
              </w:rPr>
            </w:pPr>
            <w:r w:rsidRPr="00BE3EE4">
              <w:rPr>
                <w:rFonts w:cs="Arial"/>
                <w:b/>
                <w:sz w:val="20"/>
                <w:szCs w:val="20"/>
              </w:rPr>
              <w:t>Class 7</w:t>
            </w:r>
          </w:p>
        </w:tc>
        <w:tc>
          <w:tcPr>
            <w:tcW w:w="928" w:type="dxa"/>
            <w:tcBorders>
              <w:top w:val="single" w:sz="2" w:space="0" w:color="000000"/>
              <w:bottom w:val="single" w:sz="2" w:space="0" w:color="000000"/>
            </w:tcBorders>
            <w:vAlign w:val="center"/>
          </w:tcPr>
          <w:p w14:paraId="5ADBF656" w14:textId="18332579" w:rsidR="004F68DA" w:rsidRPr="00A70111" w:rsidRDefault="00AB0CCC" w:rsidP="00B361F3">
            <w:pPr>
              <w:spacing w:after="0" w:line="240" w:lineRule="auto"/>
              <w:rPr>
                <w:rFonts w:cs="Arial"/>
                <w:sz w:val="20"/>
                <w:szCs w:val="20"/>
              </w:rPr>
            </w:pPr>
            <w:r w:rsidRPr="00F32131">
              <w:rPr>
                <w:rFonts w:cs="Arial"/>
                <w:sz w:val="20"/>
                <w:szCs w:val="20"/>
              </w:rPr>
              <w:t>Feb</w:t>
            </w:r>
            <w:r w:rsidR="00464C6B" w:rsidRPr="00F32131">
              <w:rPr>
                <w:rFonts w:cs="Arial"/>
                <w:sz w:val="20"/>
                <w:szCs w:val="20"/>
              </w:rPr>
              <w:t>.</w:t>
            </w:r>
            <w:r w:rsidR="004F68DA" w:rsidRPr="00B361F3">
              <w:rPr>
                <w:rFonts w:cs="Arial"/>
                <w:sz w:val="20"/>
                <w:szCs w:val="20"/>
              </w:rPr>
              <w:t xml:space="preserve"> </w:t>
            </w:r>
            <w:r w:rsidRPr="00B361F3">
              <w:rPr>
                <w:rFonts w:cs="Arial"/>
                <w:sz w:val="20"/>
                <w:szCs w:val="20"/>
              </w:rPr>
              <w:t>26</w:t>
            </w:r>
          </w:p>
        </w:tc>
        <w:tc>
          <w:tcPr>
            <w:tcW w:w="1952" w:type="dxa"/>
            <w:tcBorders>
              <w:top w:val="single" w:sz="2" w:space="0" w:color="000000"/>
              <w:bottom w:val="single" w:sz="2" w:space="0" w:color="000000"/>
            </w:tcBorders>
            <w:vAlign w:val="center"/>
          </w:tcPr>
          <w:p w14:paraId="75E86E50" w14:textId="77777777" w:rsidR="00330F48" w:rsidRPr="00A70111" w:rsidRDefault="00330F48" w:rsidP="00B361F3">
            <w:pPr>
              <w:pStyle w:val="NoSpacing"/>
              <w:rPr>
                <w:rFonts w:cstheme="minorHAnsi"/>
                <w:sz w:val="20"/>
                <w:szCs w:val="20"/>
              </w:rPr>
            </w:pPr>
            <w:r w:rsidRPr="00A70111">
              <w:rPr>
                <w:rFonts w:cstheme="minorHAnsi"/>
                <w:sz w:val="20"/>
                <w:szCs w:val="20"/>
              </w:rPr>
              <w:t>Measurement issues</w:t>
            </w:r>
          </w:p>
          <w:p w14:paraId="70DCE075" w14:textId="77777777" w:rsidR="00330F48" w:rsidRPr="00A70111" w:rsidRDefault="00330F48" w:rsidP="00B361F3">
            <w:pPr>
              <w:pStyle w:val="NoSpacing"/>
              <w:rPr>
                <w:rFonts w:cstheme="minorHAnsi"/>
                <w:sz w:val="20"/>
                <w:szCs w:val="20"/>
              </w:rPr>
            </w:pPr>
          </w:p>
          <w:p w14:paraId="16D9CAF6" w14:textId="65073241" w:rsidR="004F68DA" w:rsidRPr="00B361F3" w:rsidRDefault="00330F48" w:rsidP="00A70111">
            <w:pPr>
              <w:spacing w:after="0" w:line="240" w:lineRule="auto"/>
              <w:rPr>
                <w:rFonts w:cs="Arial"/>
                <w:sz w:val="20"/>
                <w:szCs w:val="20"/>
              </w:rPr>
            </w:pPr>
            <w:r w:rsidRPr="00A70111">
              <w:rPr>
                <w:rFonts w:cstheme="minorHAnsi"/>
                <w:sz w:val="20"/>
                <w:szCs w:val="20"/>
              </w:rPr>
              <w:t>Mixed methods</w:t>
            </w:r>
            <w:r w:rsidRPr="00BE3EE4" w:rsidDel="00374E24">
              <w:rPr>
                <w:rFonts w:cs="Arial"/>
                <w:sz w:val="20"/>
                <w:szCs w:val="20"/>
              </w:rPr>
              <w:t xml:space="preserve"> </w:t>
            </w:r>
          </w:p>
        </w:tc>
        <w:tc>
          <w:tcPr>
            <w:tcW w:w="1258" w:type="dxa"/>
            <w:tcBorders>
              <w:top w:val="single" w:sz="2" w:space="0" w:color="000000"/>
              <w:bottom w:val="single" w:sz="2" w:space="0" w:color="000000"/>
            </w:tcBorders>
            <w:vAlign w:val="center"/>
          </w:tcPr>
          <w:p w14:paraId="527C9EC2" w14:textId="77777777" w:rsidR="004F68DA" w:rsidRPr="00A70111" w:rsidRDefault="004F68DA" w:rsidP="00A70111">
            <w:pPr>
              <w:spacing w:after="0" w:line="240" w:lineRule="auto"/>
              <w:rPr>
                <w:rFonts w:cs="Arial"/>
                <w:sz w:val="20"/>
                <w:szCs w:val="20"/>
              </w:rPr>
            </w:pPr>
          </w:p>
        </w:tc>
        <w:tc>
          <w:tcPr>
            <w:tcW w:w="6147" w:type="dxa"/>
            <w:tcBorders>
              <w:top w:val="single" w:sz="2" w:space="0" w:color="000000"/>
              <w:bottom w:val="single" w:sz="2" w:space="0" w:color="000000"/>
            </w:tcBorders>
            <w:vAlign w:val="center"/>
          </w:tcPr>
          <w:p w14:paraId="1321A74C" w14:textId="77777777" w:rsidR="00330F48" w:rsidRPr="00A70111" w:rsidRDefault="00330F48" w:rsidP="00A70111">
            <w:pPr>
              <w:pStyle w:val="NoSpacing"/>
              <w:ind w:left="252" w:hanging="252"/>
              <w:rPr>
                <w:rFonts w:cstheme="minorHAnsi"/>
                <w:b/>
                <w:sz w:val="18"/>
                <w:szCs w:val="18"/>
              </w:rPr>
            </w:pPr>
            <w:r w:rsidRPr="00A70111">
              <w:rPr>
                <w:rFonts w:cstheme="minorHAnsi"/>
                <w:b/>
                <w:sz w:val="18"/>
                <w:szCs w:val="18"/>
              </w:rPr>
              <w:t>Core:</w:t>
            </w:r>
          </w:p>
          <w:p w14:paraId="0D1BD2A6" w14:textId="77777777" w:rsidR="00330F48" w:rsidRPr="00A70111" w:rsidRDefault="00330F48" w:rsidP="00A70111">
            <w:pPr>
              <w:pStyle w:val="NoSpacing"/>
              <w:ind w:left="252" w:hanging="252"/>
              <w:rPr>
                <w:rFonts w:cstheme="minorHAnsi"/>
                <w:sz w:val="18"/>
                <w:szCs w:val="18"/>
              </w:rPr>
            </w:pPr>
            <w:r w:rsidRPr="00A70111">
              <w:rPr>
                <w:rFonts w:cstheme="minorHAnsi"/>
                <w:sz w:val="18"/>
                <w:szCs w:val="18"/>
              </w:rPr>
              <w:t>Ch. 14: Lewis CC. Measurement issues in dissemination and implementation research</w:t>
            </w:r>
          </w:p>
          <w:p w14:paraId="7F6CDB14" w14:textId="77777777" w:rsidR="00330F48" w:rsidRPr="00A70111" w:rsidRDefault="00330F48" w:rsidP="00A70111">
            <w:pPr>
              <w:pStyle w:val="NoSpacing"/>
              <w:ind w:left="252" w:hanging="252"/>
              <w:rPr>
                <w:rFonts w:cstheme="minorHAnsi"/>
                <w:sz w:val="18"/>
                <w:szCs w:val="18"/>
              </w:rPr>
            </w:pPr>
            <w:proofErr w:type="spellStart"/>
            <w:r w:rsidRPr="00A70111">
              <w:rPr>
                <w:rFonts w:cstheme="minorHAnsi"/>
                <w:sz w:val="18"/>
                <w:szCs w:val="18"/>
              </w:rPr>
              <w:t>Palinkas</w:t>
            </w:r>
            <w:proofErr w:type="spellEnd"/>
            <w:r w:rsidRPr="00A70111">
              <w:rPr>
                <w:rFonts w:cstheme="minorHAnsi"/>
                <w:sz w:val="18"/>
                <w:szCs w:val="18"/>
              </w:rPr>
              <w:t xml:space="preserve">, LA, Aarons, GA, </w:t>
            </w:r>
            <w:proofErr w:type="spellStart"/>
            <w:r w:rsidRPr="00A70111">
              <w:rPr>
                <w:rFonts w:cstheme="minorHAnsi"/>
                <w:sz w:val="18"/>
                <w:szCs w:val="18"/>
              </w:rPr>
              <w:t>Horwitz</w:t>
            </w:r>
            <w:proofErr w:type="spellEnd"/>
            <w:r w:rsidRPr="00A70111">
              <w:rPr>
                <w:rFonts w:cstheme="minorHAnsi"/>
                <w:sz w:val="18"/>
                <w:szCs w:val="18"/>
              </w:rPr>
              <w:t xml:space="preserve">, S., Chamberlain, P., </w:t>
            </w:r>
            <w:proofErr w:type="spellStart"/>
            <w:r w:rsidRPr="00A70111">
              <w:rPr>
                <w:rFonts w:cstheme="minorHAnsi"/>
                <w:sz w:val="18"/>
                <w:szCs w:val="18"/>
              </w:rPr>
              <w:t>Hurlburt</w:t>
            </w:r>
            <w:proofErr w:type="spellEnd"/>
            <w:r w:rsidRPr="00A70111">
              <w:rPr>
                <w:rFonts w:cstheme="minorHAnsi"/>
                <w:sz w:val="18"/>
                <w:szCs w:val="18"/>
              </w:rPr>
              <w:t xml:space="preserve">, M., </w:t>
            </w:r>
            <w:proofErr w:type="spellStart"/>
            <w:r w:rsidRPr="00A70111">
              <w:rPr>
                <w:rFonts w:cstheme="minorHAnsi"/>
                <w:sz w:val="18"/>
                <w:szCs w:val="18"/>
              </w:rPr>
              <w:t>Landsverk</w:t>
            </w:r>
            <w:proofErr w:type="spellEnd"/>
            <w:r w:rsidRPr="00A70111">
              <w:rPr>
                <w:rFonts w:cstheme="minorHAnsi"/>
                <w:sz w:val="18"/>
                <w:szCs w:val="18"/>
              </w:rPr>
              <w:t>, J. (2011). Mixed method designs in implementation research. Administration and Policy in Mental Health Services Research, 38, 44-53.</w:t>
            </w:r>
          </w:p>
          <w:p w14:paraId="0E1D97FD" w14:textId="77777777" w:rsidR="00330F48" w:rsidRPr="00A70111" w:rsidRDefault="00330F48" w:rsidP="00A70111">
            <w:pPr>
              <w:pStyle w:val="NoSpacing"/>
              <w:ind w:left="252" w:hanging="252"/>
              <w:rPr>
                <w:rFonts w:cstheme="minorHAnsi"/>
                <w:b/>
                <w:sz w:val="18"/>
                <w:szCs w:val="18"/>
              </w:rPr>
            </w:pPr>
            <w:r w:rsidRPr="00A70111">
              <w:rPr>
                <w:rFonts w:cstheme="minorHAnsi"/>
                <w:b/>
                <w:sz w:val="18"/>
                <w:szCs w:val="18"/>
              </w:rPr>
              <w:t>Additional:</w:t>
            </w:r>
          </w:p>
          <w:p w14:paraId="205C72FE" w14:textId="77777777" w:rsidR="00330F48" w:rsidRPr="00A70111" w:rsidRDefault="00330F48" w:rsidP="00A70111">
            <w:pPr>
              <w:spacing w:after="0" w:line="240" w:lineRule="auto"/>
              <w:ind w:left="252" w:hanging="252"/>
              <w:rPr>
                <w:rFonts w:cstheme="minorHAnsi"/>
                <w:sz w:val="18"/>
                <w:szCs w:val="18"/>
              </w:rPr>
            </w:pPr>
            <w:r w:rsidRPr="00A70111">
              <w:rPr>
                <w:rFonts w:cstheme="minorHAnsi"/>
                <w:sz w:val="18"/>
                <w:szCs w:val="18"/>
              </w:rPr>
              <w:t>Rabin BA, Lewis CC, Norton WE, et al. Measurement resources for dissemination and implementation research in health. Implement Sci.11:42</w:t>
            </w:r>
          </w:p>
          <w:p w14:paraId="15B448F3" w14:textId="77777777" w:rsidR="00330F48" w:rsidRPr="00A70111" w:rsidRDefault="00330F48" w:rsidP="00A70111">
            <w:pPr>
              <w:pStyle w:val="NoSpacing"/>
              <w:ind w:left="252" w:hanging="252"/>
              <w:rPr>
                <w:rFonts w:cstheme="minorHAnsi"/>
                <w:sz w:val="18"/>
                <w:szCs w:val="18"/>
              </w:rPr>
            </w:pPr>
            <w:r w:rsidRPr="00A70111">
              <w:rPr>
                <w:rFonts w:cstheme="minorHAnsi"/>
                <w:sz w:val="18"/>
                <w:szCs w:val="18"/>
              </w:rPr>
              <w:t>Martinez, R, Lewis, C, &amp; Weiner, BJ (2014). Instrumentation Issues in Implementation Science. Implementation Science 9, 118: doi:10.1186/s13012-014-0118-8</w:t>
            </w:r>
          </w:p>
          <w:p w14:paraId="405F617A" w14:textId="77777777" w:rsidR="00330F48" w:rsidRPr="00A70111" w:rsidRDefault="00330F48" w:rsidP="00A70111">
            <w:pPr>
              <w:spacing w:after="0" w:line="240" w:lineRule="auto"/>
              <w:ind w:left="252" w:hanging="252"/>
              <w:rPr>
                <w:rFonts w:cstheme="minorHAnsi"/>
                <w:sz w:val="18"/>
                <w:szCs w:val="18"/>
              </w:rPr>
            </w:pPr>
            <w:r w:rsidRPr="00A70111">
              <w:rPr>
                <w:rFonts w:cstheme="minorHAnsi"/>
                <w:sz w:val="18"/>
                <w:szCs w:val="18"/>
              </w:rPr>
              <w:t>Clinton-</w:t>
            </w:r>
            <w:proofErr w:type="spellStart"/>
            <w:r w:rsidRPr="00A70111">
              <w:rPr>
                <w:rFonts w:cstheme="minorHAnsi"/>
                <w:sz w:val="18"/>
                <w:szCs w:val="18"/>
              </w:rPr>
              <w:t>McHarg</w:t>
            </w:r>
            <w:proofErr w:type="spellEnd"/>
            <w:r w:rsidRPr="00A70111">
              <w:rPr>
                <w:rFonts w:cstheme="minorHAnsi"/>
                <w:sz w:val="18"/>
                <w:szCs w:val="18"/>
              </w:rPr>
              <w:t>. Psychometric properties of implementation measures for public health and community settings and mapping of constructs against the CFIR a systematic review. Implementation Science (2016) 11:148</w:t>
            </w:r>
          </w:p>
          <w:p w14:paraId="62F312DE" w14:textId="77777777" w:rsidR="003A1BF8" w:rsidRPr="00A70111" w:rsidRDefault="00330F48" w:rsidP="00A70111">
            <w:pPr>
              <w:spacing w:after="0" w:line="240" w:lineRule="auto"/>
              <w:ind w:left="252" w:hanging="252"/>
              <w:rPr>
                <w:rFonts w:cstheme="minorHAnsi"/>
                <w:sz w:val="18"/>
                <w:szCs w:val="18"/>
              </w:rPr>
            </w:pPr>
            <w:proofErr w:type="spellStart"/>
            <w:r w:rsidRPr="00A70111">
              <w:rPr>
                <w:rFonts w:cstheme="minorHAnsi"/>
                <w:sz w:val="18"/>
                <w:szCs w:val="18"/>
              </w:rPr>
              <w:t>Palinkas</w:t>
            </w:r>
            <w:proofErr w:type="spellEnd"/>
            <w:r w:rsidRPr="00A70111">
              <w:rPr>
                <w:rFonts w:cstheme="minorHAnsi"/>
                <w:sz w:val="18"/>
                <w:szCs w:val="18"/>
              </w:rPr>
              <w:t xml:space="preserve"> LA. Qualitative and mixed methods in mental health services and implementation research. J </w:t>
            </w:r>
            <w:proofErr w:type="spellStart"/>
            <w:r w:rsidRPr="00A70111">
              <w:rPr>
                <w:rFonts w:cstheme="minorHAnsi"/>
                <w:sz w:val="18"/>
                <w:szCs w:val="18"/>
              </w:rPr>
              <w:t>Clin</w:t>
            </w:r>
            <w:proofErr w:type="spellEnd"/>
            <w:r w:rsidRPr="00A70111">
              <w:rPr>
                <w:rFonts w:cstheme="minorHAnsi"/>
                <w:sz w:val="18"/>
                <w:szCs w:val="18"/>
              </w:rPr>
              <w:t xml:space="preserve"> Child </w:t>
            </w:r>
            <w:proofErr w:type="spellStart"/>
            <w:r w:rsidRPr="00A70111">
              <w:rPr>
                <w:rFonts w:cstheme="minorHAnsi"/>
                <w:sz w:val="18"/>
                <w:szCs w:val="18"/>
              </w:rPr>
              <w:t>Adol</w:t>
            </w:r>
            <w:r w:rsidR="003A1BF8" w:rsidRPr="00A70111">
              <w:rPr>
                <w:rFonts w:cstheme="minorHAnsi"/>
                <w:sz w:val="18"/>
                <w:szCs w:val="18"/>
              </w:rPr>
              <w:t>esc</w:t>
            </w:r>
            <w:proofErr w:type="spellEnd"/>
            <w:r w:rsidR="003A1BF8" w:rsidRPr="00A70111">
              <w:rPr>
                <w:rFonts w:cstheme="minorHAnsi"/>
                <w:sz w:val="18"/>
                <w:szCs w:val="18"/>
              </w:rPr>
              <w:t xml:space="preserve"> Psychol. 2014</w:t>
            </w:r>
            <w:proofErr w:type="gramStart"/>
            <w:r w:rsidR="003A1BF8" w:rsidRPr="00A70111">
              <w:rPr>
                <w:rFonts w:cstheme="minorHAnsi"/>
                <w:sz w:val="18"/>
                <w:szCs w:val="18"/>
              </w:rPr>
              <w:t>;43</w:t>
            </w:r>
            <w:proofErr w:type="gramEnd"/>
            <w:r w:rsidR="003A1BF8" w:rsidRPr="00A70111">
              <w:rPr>
                <w:rFonts w:cstheme="minorHAnsi"/>
                <w:sz w:val="18"/>
                <w:szCs w:val="18"/>
              </w:rPr>
              <w:t>(6):851-61.</w:t>
            </w:r>
          </w:p>
          <w:p w14:paraId="7BB74733" w14:textId="0FD113D9" w:rsidR="004F68DA" w:rsidRPr="00A70111" w:rsidRDefault="00330F48" w:rsidP="00A70111">
            <w:pPr>
              <w:spacing w:after="0" w:line="240" w:lineRule="auto"/>
              <w:ind w:left="252" w:hanging="252"/>
              <w:rPr>
                <w:rFonts w:cstheme="minorHAnsi"/>
                <w:sz w:val="18"/>
                <w:szCs w:val="18"/>
              </w:rPr>
            </w:pPr>
            <w:r w:rsidRPr="00A70111">
              <w:rPr>
                <w:rFonts w:cstheme="minorHAnsi"/>
                <w:sz w:val="18"/>
                <w:szCs w:val="18"/>
              </w:rPr>
              <w:t xml:space="preserve">Forman. Development and application of the RE-AIM </w:t>
            </w:r>
            <w:proofErr w:type="spellStart"/>
            <w:r w:rsidRPr="00A70111">
              <w:rPr>
                <w:rFonts w:cstheme="minorHAnsi"/>
                <w:sz w:val="18"/>
                <w:szCs w:val="18"/>
              </w:rPr>
              <w:t>QuEST</w:t>
            </w:r>
            <w:proofErr w:type="spellEnd"/>
            <w:r w:rsidRPr="00A70111">
              <w:rPr>
                <w:rFonts w:cstheme="minorHAnsi"/>
                <w:sz w:val="18"/>
                <w:szCs w:val="18"/>
              </w:rPr>
              <w:t xml:space="preserve"> mixed methods framework for program evaluation. Preventive Medicine Reports 6 (2017) 322–328</w:t>
            </w:r>
          </w:p>
        </w:tc>
      </w:tr>
      <w:tr w:rsidR="004F68DA" w:rsidRPr="00774157" w14:paraId="2A817504" w14:textId="4133743A" w:rsidTr="00B361F3">
        <w:trPr>
          <w:trHeight w:val="432"/>
          <w:jc w:val="center"/>
        </w:trPr>
        <w:tc>
          <w:tcPr>
            <w:tcW w:w="695" w:type="dxa"/>
            <w:tcBorders>
              <w:top w:val="single" w:sz="2" w:space="0" w:color="000000"/>
              <w:bottom w:val="single" w:sz="2" w:space="0" w:color="000000"/>
            </w:tcBorders>
            <w:vAlign w:val="center"/>
          </w:tcPr>
          <w:p w14:paraId="4B3C9CC9" w14:textId="77777777" w:rsidR="004F68DA" w:rsidRPr="00BE3EE4" w:rsidRDefault="004F68DA" w:rsidP="00375C64">
            <w:pPr>
              <w:spacing w:after="0" w:line="240" w:lineRule="auto"/>
              <w:rPr>
                <w:rFonts w:cs="Arial"/>
                <w:b/>
                <w:sz w:val="20"/>
                <w:szCs w:val="20"/>
              </w:rPr>
            </w:pPr>
            <w:r w:rsidRPr="00BE3EE4">
              <w:rPr>
                <w:rFonts w:cs="Arial"/>
                <w:b/>
                <w:sz w:val="20"/>
                <w:szCs w:val="20"/>
              </w:rPr>
              <w:t>Class 8</w:t>
            </w:r>
          </w:p>
        </w:tc>
        <w:tc>
          <w:tcPr>
            <w:tcW w:w="928" w:type="dxa"/>
            <w:tcBorders>
              <w:top w:val="single" w:sz="2" w:space="0" w:color="000000"/>
              <w:bottom w:val="single" w:sz="2" w:space="0" w:color="000000"/>
            </w:tcBorders>
            <w:vAlign w:val="center"/>
          </w:tcPr>
          <w:p w14:paraId="74F8BAF7" w14:textId="6A401B80" w:rsidR="004F68DA" w:rsidRPr="00A70111" w:rsidRDefault="009B3030" w:rsidP="00A70111">
            <w:pPr>
              <w:spacing w:after="0" w:line="240" w:lineRule="auto"/>
              <w:rPr>
                <w:rFonts w:cs="Arial"/>
                <w:sz w:val="20"/>
                <w:szCs w:val="20"/>
              </w:rPr>
            </w:pPr>
            <w:r w:rsidRPr="00F32131">
              <w:rPr>
                <w:rFonts w:cs="Arial"/>
                <w:sz w:val="20"/>
                <w:szCs w:val="20"/>
              </w:rPr>
              <w:t>Mar</w:t>
            </w:r>
            <w:r w:rsidR="00464C6B" w:rsidRPr="00F32131">
              <w:rPr>
                <w:rFonts w:cs="Arial"/>
                <w:sz w:val="20"/>
                <w:szCs w:val="20"/>
              </w:rPr>
              <w:t>.</w:t>
            </w:r>
            <w:r w:rsidR="004F68DA" w:rsidRPr="00B361F3">
              <w:rPr>
                <w:rFonts w:cs="Arial"/>
                <w:sz w:val="20"/>
                <w:szCs w:val="20"/>
              </w:rPr>
              <w:t xml:space="preserve"> </w:t>
            </w:r>
            <w:r w:rsidRPr="00B361F3">
              <w:rPr>
                <w:rFonts w:cs="Arial"/>
                <w:sz w:val="20"/>
                <w:szCs w:val="20"/>
              </w:rPr>
              <w:t>4</w:t>
            </w:r>
          </w:p>
        </w:tc>
        <w:tc>
          <w:tcPr>
            <w:tcW w:w="1952" w:type="dxa"/>
            <w:tcBorders>
              <w:top w:val="single" w:sz="2" w:space="0" w:color="000000"/>
              <w:bottom w:val="single" w:sz="2" w:space="0" w:color="000000"/>
            </w:tcBorders>
            <w:vAlign w:val="center"/>
          </w:tcPr>
          <w:p w14:paraId="0EA6A7D6" w14:textId="0D4A87B9" w:rsidR="004F68DA" w:rsidRPr="00A70111" w:rsidRDefault="00D221BF" w:rsidP="00A70111">
            <w:pPr>
              <w:spacing w:after="0" w:line="240" w:lineRule="auto"/>
              <w:rPr>
                <w:rFonts w:cs="Arial"/>
                <w:sz w:val="20"/>
                <w:szCs w:val="20"/>
              </w:rPr>
            </w:pPr>
            <w:r w:rsidRPr="00A70111">
              <w:rPr>
                <w:rFonts w:cstheme="minorHAnsi"/>
                <w:sz w:val="20"/>
                <w:szCs w:val="20"/>
              </w:rPr>
              <w:t>Implementation outcomes</w:t>
            </w:r>
            <w:r w:rsidRPr="00BE3EE4" w:rsidDel="00374E24">
              <w:rPr>
                <w:rFonts w:cs="Arial"/>
                <w:sz w:val="20"/>
                <w:szCs w:val="20"/>
              </w:rPr>
              <w:t xml:space="preserve"> </w:t>
            </w:r>
          </w:p>
        </w:tc>
        <w:tc>
          <w:tcPr>
            <w:tcW w:w="1258" w:type="dxa"/>
            <w:tcBorders>
              <w:top w:val="single" w:sz="2" w:space="0" w:color="000000"/>
              <w:bottom w:val="single" w:sz="2" w:space="0" w:color="000000"/>
            </w:tcBorders>
            <w:vAlign w:val="center"/>
          </w:tcPr>
          <w:p w14:paraId="5BAB3EA3" w14:textId="58D260F7" w:rsidR="004F68DA" w:rsidRPr="00BE3EE4" w:rsidRDefault="00D221BF" w:rsidP="00A70111">
            <w:pPr>
              <w:spacing w:after="0" w:line="240" w:lineRule="auto"/>
              <w:rPr>
                <w:rFonts w:cs="Arial"/>
                <w:sz w:val="20"/>
                <w:szCs w:val="20"/>
              </w:rPr>
            </w:pPr>
            <w:r w:rsidRPr="00A70111">
              <w:rPr>
                <w:rFonts w:cstheme="minorHAnsi"/>
                <w:sz w:val="20"/>
                <w:szCs w:val="20"/>
              </w:rPr>
              <w:t>Second webinar discussion</w:t>
            </w:r>
          </w:p>
        </w:tc>
        <w:tc>
          <w:tcPr>
            <w:tcW w:w="6147" w:type="dxa"/>
            <w:tcBorders>
              <w:top w:val="single" w:sz="2" w:space="0" w:color="000000"/>
              <w:bottom w:val="single" w:sz="2" w:space="0" w:color="000000"/>
            </w:tcBorders>
            <w:vAlign w:val="center"/>
          </w:tcPr>
          <w:p w14:paraId="57E7BA3E" w14:textId="77777777" w:rsidR="00182D48" w:rsidRPr="00A70111" w:rsidRDefault="00182D48" w:rsidP="00A70111">
            <w:pPr>
              <w:pStyle w:val="NoSpacing"/>
              <w:ind w:left="252" w:hanging="252"/>
              <w:rPr>
                <w:rFonts w:cstheme="minorHAnsi"/>
                <w:b/>
                <w:sz w:val="18"/>
                <w:szCs w:val="18"/>
              </w:rPr>
            </w:pPr>
            <w:r w:rsidRPr="00A70111">
              <w:rPr>
                <w:rFonts w:cstheme="minorHAnsi"/>
                <w:b/>
                <w:sz w:val="18"/>
                <w:szCs w:val="18"/>
              </w:rPr>
              <w:t>Core:</w:t>
            </w:r>
          </w:p>
          <w:p w14:paraId="6FE0C293" w14:textId="77777777" w:rsidR="00182D48" w:rsidRPr="00A70111" w:rsidRDefault="00182D48" w:rsidP="00A70111">
            <w:pPr>
              <w:pStyle w:val="NoSpacing"/>
              <w:ind w:left="252" w:hanging="252"/>
              <w:rPr>
                <w:rFonts w:cstheme="minorHAnsi"/>
                <w:sz w:val="18"/>
                <w:szCs w:val="18"/>
              </w:rPr>
            </w:pPr>
            <w:r w:rsidRPr="00A70111">
              <w:rPr>
                <w:rFonts w:cstheme="minorHAnsi"/>
                <w:sz w:val="18"/>
                <w:szCs w:val="18"/>
              </w:rPr>
              <w:t xml:space="preserve">Proctor. Outcomes for implementation research: conceptual distinctions, measurement challenges, and research agenda. </w:t>
            </w:r>
            <w:proofErr w:type="spellStart"/>
            <w:r w:rsidRPr="00A70111">
              <w:rPr>
                <w:rFonts w:cstheme="minorHAnsi"/>
                <w:sz w:val="18"/>
                <w:szCs w:val="18"/>
              </w:rPr>
              <w:t>Adm</w:t>
            </w:r>
            <w:proofErr w:type="spellEnd"/>
            <w:r w:rsidRPr="00A70111">
              <w:rPr>
                <w:rFonts w:cstheme="minorHAnsi"/>
                <w:sz w:val="18"/>
                <w:szCs w:val="18"/>
              </w:rPr>
              <w:t xml:space="preserve"> Policy </w:t>
            </w:r>
            <w:proofErr w:type="spellStart"/>
            <w:r w:rsidRPr="00A70111">
              <w:rPr>
                <w:rFonts w:cstheme="minorHAnsi"/>
                <w:sz w:val="18"/>
                <w:szCs w:val="18"/>
              </w:rPr>
              <w:t>Ment</w:t>
            </w:r>
            <w:proofErr w:type="spellEnd"/>
            <w:r w:rsidRPr="00A70111">
              <w:rPr>
                <w:rFonts w:cstheme="minorHAnsi"/>
                <w:sz w:val="18"/>
                <w:szCs w:val="18"/>
              </w:rPr>
              <w:t xml:space="preserve"> Health 2011;38:65-76</w:t>
            </w:r>
          </w:p>
          <w:p w14:paraId="1C956A61" w14:textId="77777777" w:rsidR="00182D48" w:rsidRPr="00A70111" w:rsidRDefault="00182D48" w:rsidP="00A70111">
            <w:pPr>
              <w:pStyle w:val="NoSpacing"/>
              <w:ind w:left="252" w:hanging="252"/>
              <w:rPr>
                <w:rFonts w:cstheme="minorHAnsi"/>
                <w:sz w:val="18"/>
                <w:szCs w:val="18"/>
              </w:rPr>
            </w:pPr>
            <w:r w:rsidRPr="00A70111">
              <w:rPr>
                <w:rFonts w:cstheme="minorHAnsi"/>
                <w:sz w:val="18"/>
                <w:szCs w:val="18"/>
                <w:shd w:val="clear" w:color="auto" w:fill="FFFFFF"/>
              </w:rPr>
              <w:t>Lewis, Cara C., et al. "Outcomes for implementation science: an enhanced systematic review of instruments using evidence-based rating criteria." </w:t>
            </w:r>
            <w:r w:rsidRPr="00A70111">
              <w:rPr>
                <w:rFonts w:cstheme="minorHAnsi"/>
                <w:i/>
                <w:iCs/>
                <w:sz w:val="18"/>
                <w:szCs w:val="18"/>
                <w:shd w:val="clear" w:color="auto" w:fill="FFFFFF"/>
              </w:rPr>
              <w:t>Implementation science</w:t>
            </w:r>
            <w:r w:rsidRPr="00A70111">
              <w:rPr>
                <w:rFonts w:cstheme="minorHAnsi"/>
                <w:sz w:val="18"/>
                <w:szCs w:val="18"/>
                <w:shd w:val="clear" w:color="auto" w:fill="FFFFFF"/>
              </w:rPr>
              <w:t> 10.1 (2015): 155.</w:t>
            </w:r>
          </w:p>
          <w:p w14:paraId="2B1ED126" w14:textId="77777777" w:rsidR="00182D48" w:rsidRPr="00A70111" w:rsidRDefault="00182D48" w:rsidP="00A70111">
            <w:pPr>
              <w:pStyle w:val="NoSpacing"/>
              <w:ind w:left="252" w:hanging="252"/>
              <w:rPr>
                <w:rFonts w:cstheme="minorHAnsi"/>
                <w:b/>
                <w:sz w:val="18"/>
                <w:szCs w:val="18"/>
              </w:rPr>
            </w:pPr>
            <w:r w:rsidRPr="00A70111">
              <w:rPr>
                <w:rFonts w:cstheme="minorHAnsi"/>
                <w:b/>
                <w:sz w:val="18"/>
                <w:szCs w:val="18"/>
              </w:rPr>
              <w:lastRenderedPageBreak/>
              <w:t>Additional:</w:t>
            </w:r>
          </w:p>
          <w:p w14:paraId="302BCC32" w14:textId="77777777" w:rsidR="006E7D06" w:rsidRPr="00A70111" w:rsidRDefault="00182D48" w:rsidP="00A70111">
            <w:pPr>
              <w:pStyle w:val="NoSpacing"/>
              <w:ind w:left="180" w:hanging="180"/>
              <w:rPr>
                <w:rFonts w:cstheme="minorHAnsi"/>
                <w:sz w:val="18"/>
                <w:szCs w:val="18"/>
              </w:rPr>
            </w:pPr>
            <w:r w:rsidRPr="00A70111">
              <w:rPr>
                <w:rFonts w:cstheme="minorHAnsi"/>
                <w:sz w:val="18"/>
                <w:szCs w:val="18"/>
              </w:rPr>
              <w:t xml:space="preserve">Garner. Toward evidence-based measures of implementation-Examining the relationship between implementation outcomes and client outcomes. Journal of Substance </w:t>
            </w:r>
            <w:r w:rsidR="006E7D06" w:rsidRPr="00A70111">
              <w:rPr>
                <w:rFonts w:cstheme="minorHAnsi"/>
                <w:sz w:val="18"/>
                <w:szCs w:val="18"/>
              </w:rPr>
              <w:t>Abuse Treatment 67 (2016) 15–21</w:t>
            </w:r>
          </w:p>
          <w:p w14:paraId="6DFEA2EB" w14:textId="1441822E" w:rsidR="004F68DA" w:rsidRPr="00A70111" w:rsidRDefault="00182D48" w:rsidP="00A70111">
            <w:pPr>
              <w:pStyle w:val="NoSpacing"/>
              <w:ind w:left="180" w:hanging="180"/>
              <w:rPr>
                <w:rFonts w:cstheme="minorHAnsi"/>
                <w:sz w:val="18"/>
                <w:szCs w:val="18"/>
              </w:rPr>
            </w:pPr>
            <w:r w:rsidRPr="00A70111">
              <w:rPr>
                <w:rFonts w:cstheme="minorHAnsi"/>
                <w:sz w:val="18"/>
                <w:szCs w:val="18"/>
                <w:shd w:val="clear" w:color="auto" w:fill="FFFFFF"/>
              </w:rPr>
              <w:t>Weiner, Bryan J., et al. "Psychometric assessment of three newly developed implementation outcome measures." </w:t>
            </w:r>
            <w:r w:rsidRPr="00A70111">
              <w:rPr>
                <w:rFonts w:cstheme="minorHAnsi"/>
                <w:i/>
                <w:iCs/>
                <w:sz w:val="18"/>
                <w:szCs w:val="18"/>
                <w:shd w:val="clear" w:color="auto" w:fill="FFFFFF"/>
              </w:rPr>
              <w:t>Implementation Science</w:t>
            </w:r>
            <w:r w:rsidRPr="00A70111">
              <w:rPr>
                <w:rFonts w:cstheme="minorHAnsi"/>
                <w:sz w:val="18"/>
                <w:szCs w:val="18"/>
                <w:shd w:val="clear" w:color="auto" w:fill="FFFFFF"/>
              </w:rPr>
              <w:t> 12.1 (2017): 108.</w:t>
            </w:r>
          </w:p>
        </w:tc>
      </w:tr>
      <w:tr w:rsidR="00C27937" w:rsidRPr="00774157" w14:paraId="1C484518" w14:textId="77777777" w:rsidTr="00B361F3">
        <w:trPr>
          <w:trHeight w:val="432"/>
          <w:jc w:val="center"/>
        </w:trPr>
        <w:tc>
          <w:tcPr>
            <w:tcW w:w="695" w:type="dxa"/>
            <w:tcBorders>
              <w:top w:val="single" w:sz="2" w:space="0" w:color="000000"/>
              <w:bottom w:val="single" w:sz="2" w:space="0" w:color="000000"/>
            </w:tcBorders>
            <w:vAlign w:val="center"/>
          </w:tcPr>
          <w:p w14:paraId="085A4AAC" w14:textId="60ECFC7F" w:rsidR="00C27937" w:rsidRPr="00BE3EE4" w:rsidRDefault="00C27937" w:rsidP="00C27937">
            <w:pPr>
              <w:spacing w:after="0" w:line="240" w:lineRule="auto"/>
              <w:rPr>
                <w:rFonts w:cs="Arial"/>
                <w:b/>
                <w:sz w:val="20"/>
                <w:szCs w:val="20"/>
              </w:rPr>
            </w:pPr>
            <w:r w:rsidRPr="00BE3EE4">
              <w:rPr>
                <w:rFonts w:cs="Arial"/>
                <w:b/>
                <w:sz w:val="20"/>
                <w:szCs w:val="20"/>
              </w:rPr>
              <w:lastRenderedPageBreak/>
              <w:t>Class 9</w:t>
            </w:r>
          </w:p>
        </w:tc>
        <w:tc>
          <w:tcPr>
            <w:tcW w:w="928" w:type="dxa"/>
            <w:tcBorders>
              <w:top w:val="single" w:sz="2" w:space="0" w:color="000000"/>
              <w:bottom w:val="single" w:sz="2" w:space="0" w:color="000000"/>
            </w:tcBorders>
            <w:vAlign w:val="center"/>
          </w:tcPr>
          <w:p w14:paraId="0AEF6DF2" w14:textId="758141E9" w:rsidR="00C27937" w:rsidRPr="00F32131" w:rsidDel="009B3030" w:rsidRDefault="00C27937" w:rsidP="00F32131">
            <w:pPr>
              <w:spacing w:after="0" w:line="240" w:lineRule="auto"/>
              <w:rPr>
                <w:rFonts w:cs="Arial"/>
                <w:sz w:val="20"/>
                <w:szCs w:val="20"/>
              </w:rPr>
            </w:pPr>
            <w:r w:rsidRPr="00F32131">
              <w:rPr>
                <w:rFonts w:cs="Arial"/>
                <w:sz w:val="20"/>
                <w:szCs w:val="20"/>
              </w:rPr>
              <w:t>Mar. 11</w:t>
            </w:r>
          </w:p>
        </w:tc>
        <w:tc>
          <w:tcPr>
            <w:tcW w:w="1952" w:type="dxa"/>
            <w:tcBorders>
              <w:top w:val="single" w:sz="2" w:space="0" w:color="000000"/>
              <w:bottom w:val="single" w:sz="2" w:space="0" w:color="000000"/>
            </w:tcBorders>
            <w:vAlign w:val="center"/>
          </w:tcPr>
          <w:p w14:paraId="2932B466" w14:textId="77777777" w:rsidR="00C27937" w:rsidRPr="00A70111" w:rsidRDefault="00C27937" w:rsidP="00F32131">
            <w:pPr>
              <w:pStyle w:val="NoSpacing"/>
              <w:rPr>
                <w:rFonts w:cstheme="minorHAnsi"/>
                <w:sz w:val="20"/>
                <w:szCs w:val="20"/>
              </w:rPr>
            </w:pPr>
            <w:r w:rsidRPr="00A70111">
              <w:rPr>
                <w:rFonts w:cstheme="minorHAnsi"/>
                <w:sz w:val="20"/>
                <w:szCs w:val="20"/>
              </w:rPr>
              <w:t>Global</w:t>
            </w:r>
          </w:p>
          <w:p w14:paraId="193F834D" w14:textId="77777777" w:rsidR="00C27937" w:rsidRPr="00A70111" w:rsidRDefault="00C27937" w:rsidP="00B361F3">
            <w:pPr>
              <w:pStyle w:val="NoSpacing"/>
              <w:rPr>
                <w:rFonts w:cstheme="minorHAnsi"/>
                <w:sz w:val="20"/>
                <w:szCs w:val="20"/>
              </w:rPr>
            </w:pPr>
            <w:r w:rsidRPr="00A70111">
              <w:rPr>
                <w:rFonts w:cstheme="minorHAnsi"/>
                <w:sz w:val="20"/>
                <w:szCs w:val="20"/>
              </w:rPr>
              <w:t>Low-resource settings</w:t>
            </w:r>
          </w:p>
          <w:p w14:paraId="349CD712" w14:textId="77777777" w:rsidR="00C27937" w:rsidRPr="00A70111" w:rsidRDefault="00C27937" w:rsidP="00B361F3">
            <w:pPr>
              <w:pStyle w:val="NoSpacing"/>
              <w:rPr>
                <w:rFonts w:cstheme="minorHAnsi"/>
                <w:sz w:val="20"/>
                <w:szCs w:val="20"/>
              </w:rPr>
            </w:pPr>
          </w:p>
          <w:p w14:paraId="1E599F01" w14:textId="7FF3ACEB" w:rsidR="00C27937" w:rsidRPr="00A70111" w:rsidRDefault="00C27937" w:rsidP="00A70111">
            <w:pPr>
              <w:spacing w:after="0" w:line="240" w:lineRule="auto"/>
              <w:rPr>
                <w:rFonts w:cstheme="minorHAnsi"/>
                <w:sz w:val="20"/>
                <w:szCs w:val="20"/>
              </w:rPr>
            </w:pPr>
            <w:r w:rsidRPr="00A70111">
              <w:rPr>
                <w:rFonts w:cstheme="minorHAnsi"/>
                <w:sz w:val="20"/>
                <w:szCs w:val="20"/>
              </w:rPr>
              <w:t>De-implementation</w:t>
            </w:r>
          </w:p>
        </w:tc>
        <w:tc>
          <w:tcPr>
            <w:tcW w:w="1258" w:type="dxa"/>
            <w:tcBorders>
              <w:top w:val="single" w:sz="2" w:space="0" w:color="000000"/>
              <w:bottom w:val="single" w:sz="2" w:space="0" w:color="000000"/>
            </w:tcBorders>
            <w:vAlign w:val="center"/>
          </w:tcPr>
          <w:p w14:paraId="6F35A4C7" w14:textId="3B3CEA8B" w:rsidR="00C27937" w:rsidRPr="00A70111" w:rsidRDefault="00C27937" w:rsidP="00A70111">
            <w:pPr>
              <w:spacing w:after="0" w:line="240" w:lineRule="auto"/>
              <w:rPr>
                <w:rFonts w:cstheme="minorHAnsi"/>
                <w:sz w:val="20"/>
                <w:szCs w:val="20"/>
              </w:rPr>
            </w:pPr>
            <w:r w:rsidRPr="00A70111">
              <w:rPr>
                <w:rFonts w:eastAsia="Times New Roman" w:cstheme="minorHAnsi"/>
                <w:sz w:val="20"/>
                <w:szCs w:val="20"/>
              </w:rPr>
              <w:t>Due: Outline for research project</w:t>
            </w:r>
          </w:p>
        </w:tc>
        <w:tc>
          <w:tcPr>
            <w:tcW w:w="6147" w:type="dxa"/>
            <w:tcBorders>
              <w:top w:val="single" w:sz="2" w:space="0" w:color="000000"/>
              <w:bottom w:val="single" w:sz="2" w:space="0" w:color="000000"/>
            </w:tcBorders>
            <w:vAlign w:val="center"/>
          </w:tcPr>
          <w:p w14:paraId="759BD3AB" w14:textId="77777777" w:rsidR="00C27937" w:rsidRPr="00A70111" w:rsidRDefault="00C27937" w:rsidP="00A70111">
            <w:pPr>
              <w:pStyle w:val="NoSpacing"/>
              <w:ind w:left="252" w:hanging="252"/>
              <w:rPr>
                <w:rFonts w:cstheme="minorHAnsi"/>
                <w:b/>
                <w:sz w:val="18"/>
                <w:szCs w:val="18"/>
              </w:rPr>
            </w:pPr>
            <w:r w:rsidRPr="00A70111">
              <w:rPr>
                <w:rFonts w:cstheme="minorHAnsi"/>
                <w:b/>
                <w:sz w:val="18"/>
                <w:szCs w:val="18"/>
              </w:rPr>
              <w:t>Core:</w:t>
            </w:r>
          </w:p>
          <w:p w14:paraId="76144D9D" w14:textId="77777777" w:rsidR="00C27937" w:rsidRPr="00A70111" w:rsidRDefault="00C27937" w:rsidP="00A70111">
            <w:pPr>
              <w:pStyle w:val="NoSpacing"/>
              <w:ind w:left="180" w:hanging="180"/>
              <w:rPr>
                <w:rFonts w:cstheme="minorHAnsi"/>
                <w:sz w:val="18"/>
                <w:szCs w:val="18"/>
              </w:rPr>
            </w:pPr>
            <w:proofErr w:type="spellStart"/>
            <w:r w:rsidRPr="00A70111">
              <w:rPr>
                <w:rFonts w:cstheme="minorHAnsi"/>
                <w:sz w:val="18"/>
                <w:szCs w:val="18"/>
              </w:rPr>
              <w:t>Escoffery</w:t>
            </w:r>
            <w:proofErr w:type="spellEnd"/>
            <w:r w:rsidRPr="00A70111">
              <w:rPr>
                <w:rFonts w:cstheme="minorHAnsi"/>
                <w:sz w:val="18"/>
                <w:szCs w:val="18"/>
              </w:rPr>
              <w:t>, Cam, et al. "A systematic review of adaptations of evidence-based public health interventions globally." Implementation Science 13.1 (2018): 125.</w:t>
            </w:r>
          </w:p>
          <w:p w14:paraId="03F2820A" w14:textId="77777777" w:rsidR="00C27937" w:rsidRPr="00A70111" w:rsidRDefault="00C27937" w:rsidP="00A70111">
            <w:pPr>
              <w:pStyle w:val="NoSpacing"/>
              <w:ind w:left="180" w:hanging="180"/>
              <w:rPr>
                <w:rFonts w:cstheme="minorHAnsi"/>
                <w:sz w:val="18"/>
                <w:szCs w:val="18"/>
              </w:rPr>
            </w:pPr>
            <w:r w:rsidRPr="00A70111">
              <w:rPr>
                <w:rFonts w:cstheme="minorHAnsi"/>
                <w:sz w:val="18"/>
                <w:szCs w:val="18"/>
              </w:rPr>
              <w:t>McKay, Virginia R., et al. "Letting Go: Conceptualizing Intervention De‐implementation in Public Health and Social Service Settings." American journal of community psychology 62.1-2 (2018): 189-202.</w:t>
            </w:r>
          </w:p>
          <w:p w14:paraId="097372CF" w14:textId="77777777" w:rsidR="00C27937" w:rsidRPr="00A70111" w:rsidRDefault="00C27937" w:rsidP="00A70111">
            <w:pPr>
              <w:pStyle w:val="NoSpacing"/>
              <w:ind w:left="252" w:hanging="252"/>
              <w:rPr>
                <w:rFonts w:cstheme="minorHAnsi"/>
                <w:b/>
                <w:sz w:val="18"/>
                <w:szCs w:val="18"/>
              </w:rPr>
            </w:pPr>
            <w:r w:rsidRPr="00A70111">
              <w:rPr>
                <w:rFonts w:cstheme="minorHAnsi"/>
                <w:b/>
                <w:sz w:val="18"/>
                <w:szCs w:val="18"/>
              </w:rPr>
              <w:t>Additional:</w:t>
            </w:r>
          </w:p>
          <w:p w14:paraId="77FF6811" w14:textId="2D081304" w:rsidR="00C27937" w:rsidRPr="00A70111" w:rsidRDefault="00C27937" w:rsidP="00F32131">
            <w:pPr>
              <w:pStyle w:val="NoSpacing"/>
              <w:ind w:left="252" w:hanging="252"/>
              <w:rPr>
                <w:rFonts w:cstheme="minorHAnsi"/>
                <w:b/>
                <w:sz w:val="18"/>
                <w:szCs w:val="18"/>
              </w:rPr>
            </w:pPr>
            <w:r w:rsidRPr="00A70111">
              <w:rPr>
                <w:rFonts w:cstheme="minorHAnsi"/>
                <w:sz w:val="18"/>
                <w:szCs w:val="18"/>
              </w:rPr>
              <w:t xml:space="preserve">Ch. 28.  </w:t>
            </w:r>
            <w:proofErr w:type="spellStart"/>
            <w:r w:rsidRPr="00A70111">
              <w:rPr>
                <w:rFonts w:cstheme="minorHAnsi"/>
                <w:sz w:val="18"/>
                <w:szCs w:val="18"/>
              </w:rPr>
              <w:t>Lobb</w:t>
            </w:r>
            <w:proofErr w:type="spellEnd"/>
            <w:r w:rsidRPr="00A70111">
              <w:rPr>
                <w:rFonts w:cstheme="minorHAnsi"/>
                <w:sz w:val="18"/>
                <w:szCs w:val="18"/>
              </w:rPr>
              <w:t>, R. Dissemination and Implementation Research in a Global Context.</w:t>
            </w:r>
          </w:p>
        </w:tc>
      </w:tr>
      <w:tr w:rsidR="00C27937" w:rsidRPr="00774157" w14:paraId="343B9071" w14:textId="7B2B4D72" w:rsidTr="00B361F3">
        <w:trPr>
          <w:trHeight w:val="432"/>
          <w:jc w:val="center"/>
        </w:trPr>
        <w:tc>
          <w:tcPr>
            <w:tcW w:w="695" w:type="dxa"/>
            <w:tcBorders>
              <w:top w:val="single" w:sz="2" w:space="0" w:color="000000"/>
              <w:bottom w:val="single" w:sz="2" w:space="0" w:color="000000"/>
            </w:tcBorders>
            <w:vAlign w:val="center"/>
          </w:tcPr>
          <w:p w14:paraId="1BC0A701" w14:textId="77777777" w:rsidR="00C27937" w:rsidRPr="00BE3EE4" w:rsidRDefault="00C27937" w:rsidP="00F32131">
            <w:pPr>
              <w:spacing w:after="0" w:line="240" w:lineRule="auto"/>
              <w:rPr>
                <w:rFonts w:cs="Arial"/>
                <w:b/>
                <w:sz w:val="20"/>
                <w:szCs w:val="20"/>
              </w:rPr>
            </w:pPr>
            <w:r w:rsidRPr="00BE3EE4">
              <w:rPr>
                <w:rFonts w:cs="Arial"/>
                <w:b/>
                <w:sz w:val="20"/>
                <w:szCs w:val="20"/>
              </w:rPr>
              <w:t>Class 10</w:t>
            </w:r>
          </w:p>
        </w:tc>
        <w:tc>
          <w:tcPr>
            <w:tcW w:w="928" w:type="dxa"/>
            <w:tcBorders>
              <w:top w:val="single" w:sz="2" w:space="0" w:color="000000"/>
              <w:bottom w:val="single" w:sz="2" w:space="0" w:color="000000"/>
            </w:tcBorders>
            <w:vAlign w:val="center"/>
          </w:tcPr>
          <w:p w14:paraId="7C32921C" w14:textId="11AC7AAC" w:rsidR="00C27937" w:rsidRPr="00A70111" w:rsidRDefault="00C27937" w:rsidP="00A70111">
            <w:pPr>
              <w:spacing w:after="0" w:line="240" w:lineRule="auto"/>
              <w:rPr>
                <w:rFonts w:cs="Arial"/>
                <w:sz w:val="20"/>
                <w:szCs w:val="20"/>
              </w:rPr>
            </w:pPr>
            <w:r w:rsidRPr="00F32131">
              <w:rPr>
                <w:rFonts w:cs="Arial"/>
                <w:sz w:val="20"/>
                <w:szCs w:val="20"/>
              </w:rPr>
              <w:t xml:space="preserve">Mar. </w:t>
            </w:r>
            <w:r w:rsidRPr="00B361F3">
              <w:rPr>
                <w:rFonts w:cs="Arial"/>
                <w:sz w:val="20"/>
                <w:szCs w:val="20"/>
              </w:rPr>
              <w:t>18</w:t>
            </w:r>
          </w:p>
        </w:tc>
        <w:tc>
          <w:tcPr>
            <w:tcW w:w="1952" w:type="dxa"/>
            <w:tcBorders>
              <w:top w:val="single" w:sz="2" w:space="0" w:color="000000"/>
              <w:bottom w:val="single" w:sz="2" w:space="0" w:color="000000"/>
            </w:tcBorders>
            <w:vAlign w:val="center"/>
          </w:tcPr>
          <w:p w14:paraId="4FDBCECF" w14:textId="77777777" w:rsidR="00500663" w:rsidRPr="00A70111" w:rsidRDefault="00500663" w:rsidP="00A70111">
            <w:pPr>
              <w:pStyle w:val="NoSpacing"/>
              <w:rPr>
                <w:rFonts w:cstheme="minorHAnsi"/>
                <w:sz w:val="20"/>
                <w:szCs w:val="20"/>
              </w:rPr>
            </w:pPr>
            <w:r w:rsidRPr="00A70111">
              <w:rPr>
                <w:rFonts w:cstheme="minorHAnsi"/>
                <w:sz w:val="20"/>
                <w:szCs w:val="20"/>
              </w:rPr>
              <w:t>D&amp;I opportunities</w:t>
            </w:r>
          </w:p>
          <w:p w14:paraId="3E99C692" w14:textId="77777777" w:rsidR="00500663" w:rsidRPr="00A70111" w:rsidRDefault="00500663" w:rsidP="00A70111">
            <w:pPr>
              <w:pStyle w:val="NoSpacing"/>
              <w:rPr>
                <w:rFonts w:cstheme="minorHAnsi"/>
                <w:sz w:val="20"/>
                <w:szCs w:val="20"/>
              </w:rPr>
            </w:pPr>
          </w:p>
          <w:p w14:paraId="2C63B40B" w14:textId="77777777" w:rsidR="00500663" w:rsidRPr="00A70111" w:rsidRDefault="00500663" w:rsidP="00A70111">
            <w:pPr>
              <w:pStyle w:val="NoSpacing"/>
              <w:rPr>
                <w:rFonts w:cstheme="minorHAnsi"/>
                <w:sz w:val="20"/>
                <w:szCs w:val="20"/>
              </w:rPr>
            </w:pPr>
          </w:p>
          <w:p w14:paraId="059EB2BC" w14:textId="0A14DC7E" w:rsidR="00C27937" w:rsidRPr="00A70111" w:rsidRDefault="00500663" w:rsidP="00A70111">
            <w:pPr>
              <w:spacing w:after="0" w:line="240" w:lineRule="auto"/>
              <w:rPr>
                <w:rFonts w:cs="Arial"/>
                <w:sz w:val="20"/>
                <w:szCs w:val="20"/>
              </w:rPr>
            </w:pPr>
            <w:r w:rsidRPr="00A70111">
              <w:rPr>
                <w:rFonts w:cstheme="minorHAnsi"/>
                <w:sz w:val="20"/>
                <w:szCs w:val="20"/>
              </w:rPr>
              <w:t>Policy D&amp;I</w:t>
            </w:r>
            <w:r w:rsidRPr="00BE3EE4" w:rsidDel="00374E24">
              <w:rPr>
                <w:rFonts w:cs="Arial"/>
                <w:sz w:val="20"/>
                <w:szCs w:val="20"/>
              </w:rPr>
              <w:t xml:space="preserve"> </w:t>
            </w:r>
          </w:p>
        </w:tc>
        <w:tc>
          <w:tcPr>
            <w:tcW w:w="1258" w:type="dxa"/>
            <w:tcBorders>
              <w:top w:val="single" w:sz="2" w:space="0" w:color="000000"/>
              <w:bottom w:val="single" w:sz="2" w:space="0" w:color="000000"/>
            </w:tcBorders>
            <w:vAlign w:val="center"/>
          </w:tcPr>
          <w:p w14:paraId="5D943F82" w14:textId="77777777" w:rsidR="00C27937" w:rsidRPr="00A70111" w:rsidRDefault="00C27937" w:rsidP="00A70111">
            <w:pPr>
              <w:spacing w:after="0" w:line="240" w:lineRule="auto"/>
              <w:rPr>
                <w:rFonts w:cs="Arial"/>
                <w:sz w:val="20"/>
                <w:szCs w:val="20"/>
              </w:rPr>
            </w:pPr>
          </w:p>
        </w:tc>
        <w:tc>
          <w:tcPr>
            <w:tcW w:w="6147" w:type="dxa"/>
            <w:tcBorders>
              <w:top w:val="single" w:sz="2" w:space="0" w:color="000000"/>
              <w:bottom w:val="single" w:sz="2" w:space="0" w:color="000000"/>
            </w:tcBorders>
            <w:vAlign w:val="center"/>
          </w:tcPr>
          <w:p w14:paraId="1EECC769" w14:textId="77777777" w:rsidR="00500663" w:rsidRPr="00A70111" w:rsidRDefault="00500663" w:rsidP="00A70111">
            <w:pPr>
              <w:pStyle w:val="NoSpacing"/>
              <w:ind w:left="252" w:hanging="252"/>
              <w:rPr>
                <w:rFonts w:cstheme="minorHAnsi"/>
                <w:b/>
                <w:sz w:val="18"/>
                <w:szCs w:val="18"/>
              </w:rPr>
            </w:pPr>
            <w:r w:rsidRPr="00A70111">
              <w:rPr>
                <w:rFonts w:cstheme="minorHAnsi"/>
                <w:b/>
                <w:sz w:val="18"/>
                <w:szCs w:val="18"/>
              </w:rPr>
              <w:t>Core:</w:t>
            </w:r>
          </w:p>
          <w:p w14:paraId="7CAAC1A9" w14:textId="77777777" w:rsidR="00500663" w:rsidRPr="00A70111" w:rsidRDefault="00500663" w:rsidP="00A70111">
            <w:pPr>
              <w:pStyle w:val="NoSpacing"/>
              <w:ind w:left="180" w:hanging="180"/>
              <w:rPr>
                <w:rFonts w:cstheme="minorHAnsi"/>
                <w:sz w:val="18"/>
                <w:szCs w:val="18"/>
              </w:rPr>
            </w:pPr>
            <w:r w:rsidRPr="00A70111">
              <w:rPr>
                <w:rFonts w:cstheme="minorHAnsi"/>
                <w:sz w:val="18"/>
                <w:szCs w:val="18"/>
              </w:rPr>
              <w:t xml:space="preserve">Kreuter MW, McBride TD, Caburnay CA, et al. What can health communication science offer for ACA implementation? Five evidence-informed strategies for expanding Medicaid enrollment. </w:t>
            </w:r>
            <w:r w:rsidRPr="00A70111">
              <w:rPr>
                <w:rFonts w:cstheme="minorHAnsi"/>
                <w:i/>
                <w:sz w:val="18"/>
                <w:szCs w:val="18"/>
              </w:rPr>
              <w:t xml:space="preserve">Milbank Q. </w:t>
            </w:r>
            <w:r w:rsidRPr="00A70111">
              <w:rPr>
                <w:rFonts w:cstheme="minorHAnsi"/>
                <w:sz w:val="18"/>
                <w:szCs w:val="18"/>
              </w:rPr>
              <w:t>Mar 2014</w:t>
            </w:r>
            <w:proofErr w:type="gramStart"/>
            <w:r w:rsidRPr="00A70111">
              <w:rPr>
                <w:rFonts w:cstheme="minorHAnsi"/>
                <w:sz w:val="18"/>
                <w:szCs w:val="18"/>
              </w:rPr>
              <w:t>;92</w:t>
            </w:r>
            <w:proofErr w:type="gramEnd"/>
            <w:r w:rsidRPr="00A70111">
              <w:rPr>
                <w:rFonts w:cstheme="minorHAnsi"/>
                <w:sz w:val="18"/>
                <w:szCs w:val="18"/>
              </w:rPr>
              <w:t>(1):40-62.</w:t>
            </w:r>
          </w:p>
          <w:p w14:paraId="3DD46B47" w14:textId="77777777" w:rsidR="00500663" w:rsidRPr="00A70111" w:rsidRDefault="00500663" w:rsidP="00A70111">
            <w:pPr>
              <w:spacing w:after="0" w:line="240" w:lineRule="auto"/>
              <w:ind w:left="252" w:hanging="252"/>
              <w:rPr>
                <w:rFonts w:cstheme="minorHAnsi"/>
                <w:sz w:val="18"/>
                <w:szCs w:val="18"/>
              </w:rPr>
            </w:pPr>
            <w:r w:rsidRPr="00A70111">
              <w:rPr>
                <w:rFonts w:cstheme="minorHAnsi"/>
                <w:sz w:val="18"/>
                <w:szCs w:val="18"/>
              </w:rPr>
              <w:t xml:space="preserve">Ch. 26: </w:t>
            </w:r>
            <w:proofErr w:type="spellStart"/>
            <w:r w:rsidRPr="00A70111">
              <w:rPr>
                <w:rFonts w:cstheme="minorHAnsi"/>
                <w:sz w:val="18"/>
                <w:szCs w:val="18"/>
              </w:rPr>
              <w:t>Purtle</w:t>
            </w:r>
            <w:proofErr w:type="spellEnd"/>
            <w:proofErr w:type="gramStart"/>
            <w:r w:rsidRPr="00A70111">
              <w:rPr>
                <w:rFonts w:cstheme="minorHAnsi"/>
                <w:sz w:val="18"/>
                <w:szCs w:val="18"/>
              </w:rPr>
              <w:t>,.</w:t>
            </w:r>
            <w:proofErr w:type="gramEnd"/>
            <w:r w:rsidRPr="00A70111">
              <w:rPr>
                <w:rFonts w:cstheme="minorHAnsi"/>
                <w:sz w:val="18"/>
                <w:szCs w:val="18"/>
              </w:rPr>
              <w:t xml:space="preserve"> Policy Dissemination Research</w:t>
            </w:r>
          </w:p>
          <w:p w14:paraId="19245870" w14:textId="77777777" w:rsidR="00500663" w:rsidRPr="00A70111" w:rsidRDefault="00500663" w:rsidP="00A70111">
            <w:pPr>
              <w:pStyle w:val="NoSpacing"/>
              <w:ind w:left="252" w:hanging="252"/>
              <w:rPr>
                <w:rFonts w:cstheme="minorHAnsi"/>
                <w:b/>
                <w:sz w:val="18"/>
                <w:szCs w:val="18"/>
              </w:rPr>
            </w:pPr>
            <w:r w:rsidRPr="00A70111">
              <w:rPr>
                <w:rFonts w:cstheme="minorHAnsi"/>
                <w:b/>
                <w:sz w:val="18"/>
                <w:szCs w:val="18"/>
              </w:rPr>
              <w:t>Additional:</w:t>
            </w:r>
          </w:p>
          <w:p w14:paraId="31ED0198" w14:textId="77777777" w:rsidR="00FE16FF" w:rsidRPr="00A70111" w:rsidRDefault="00500663" w:rsidP="00A70111">
            <w:pPr>
              <w:pStyle w:val="NoSpacing"/>
              <w:ind w:left="180" w:hanging="180"/>
              <w:rPr>
                <w:rFonts w:cstheme="minorHAnsi"/>
                <w:sz w:val="18"/>
                <w:szCs w:val="18"/>
              </w:rPr>
            </w:pPr>
            <w:proofErr w:type="spellStart"/>
            <w:r w:rsidRPr="00A70111">
              <w:rPr>
                <w:rFonts w:cstheme="minorHAnsi"/>
                <w:sz w:val="18"/>
                <w:szCs w:val="18"/>
              </w:rPr>
              <w:t>Alla</w:t>
            </w:r>
            <w:proofErr w:type="spellEnd"/>
            <w:r w:rsidRPr="00A70111">
              <w:rPr>
                <w:rFonts w:cstheme="minorHAnsi"/>
                <w:sz w:val="18"/>
                <w:szCs w:val="18"/>
              </w:rPr>
              <w:t xml:space="preserve">. How do we define the policy impact of public health research-A systematic </w:t>
            </w:r>
            <w:proofErr w:type="gramStart"/>
            <w:r w:rsidRPr="00A70111">
              <w:rPr>
                <w:rFonts w:cstheme="minorHAnsi"/>
                <w:sz w:val="18"/>
                <w:szCs w:val="18"/>
              </w:rPr>
              <w:t>review.</w:t>
            </w:r>
            <w:proofErr w:type="gramEnd"/>
            <w:r w:rsidRPr="00A70111">
              <w:rPr>
                <w:rFonts w:cstheme="minorHAnsi"/>
                <w:sz w:val="18"/>
                <w:szCs w:val="18"/>
              </w:rPr>
              <w:t xml:space="preserve"> Health Research Policy and Systems (2017) 15:84</w:t>
            </w:r>
          </w:p>
          <w:p w14:paraId="474712AA" w14:textId="7DFEC589" w:rsidR="00C27937" w:rsidRPr="00A70111" w:rsidRDefault="00500663" w:rsidP="00A70111">
            <w:pPr>
              <w:pStyle w:val="NoSpacing"/>
              <w:ind w:left="180" w:hanging="180"/>
              <w:rPr>
                <w:rFonts w:cstheme="minorHAnsi"/>
                <w:sz w:val="18"/>
                <w:szCs w:val="18"/>
              </w:rPr>
            </w:pPr>
            <w:proofErr w:type="spellStart"/>
            <w:r w:rsidRPr="00A70111">
              <w:rPr>
                <w:rFonts w:cstheme="minorHAnsi"/>
                <w:sz w:val="18"/>
                <w:szCs w:val="18"/>
              </w:rPr>
              <w:t>Seow</w:t>
            </w:r>
            <w:proofErr w:type="spellEnd"/>
            <w:r w:rsidRPr="00A70111">
              <w:rPr>
                <w:rFonts w:cstheme="minorHAnsi"/>
                <w:sz w:val="18"/>
                <w:szCs w:val="18"/>
              </w:rPr>
              <w:t xml:space="preserve"> H, Phillips CO, Rich MW, </w:t>
            </w:r>
            <w:proofErr w:type="spellStart"/>
            <w:r w:rsidRPr="00A70111">
              <w:rPr>
                <w:rFonts w:cstheme="minorHAnsi"/>
                <w:sz w:val="18"/>
                <w:szCs w:val="18"/>
              </w:rPr>
              <w:t>Spertus</w:t>
            </w:r>
            <w:proofErr w:type="spellEnd"/>
            <w:r w:rsidRPr="00A70111">
              <w:rPr>
                <w:rFonts w:cstheme="minorHAnsi"/>
                <w:sz w:val="18"/>
                <w:szCs w:val="18"/>
              </w:rPr>
              <w:t xml:space="preserve"> JA, </w:t>
            </w:r>
            <w:proofErr w:type="spellStart"/>
            <w:r w:rsidRPr="00A70111">
              <w:rPr>
                <w:rFonts w:cstheme="minorHAnsi"/>
                <w:sz w:val="18"/>
                <w:szCs w:val="18"/>
              </w:rPr>
              <w:t>Krumholz</w:t>
            </w:r>
            <w:proofErr w:type="spellEnd"/>
            <w:r w:rsidRPr="00A70111">
              <w:rPr>
                <w:rFonts w:cstheme="minorHAnsi"/>
                <w:sz w:val="18"/>
                <w:szCs w:val="18"/>
              </w:rPr>
              <w:t xml:space="preserve"> HM, Lynn J. Isolation of health services research from practice and policy: the example of chronic heart failure management. </w:t>
            </w:r>
            <w:r w:rsidRPr="00A70111">
              <w:rPr>
                <w:rFonts w:cstheme="minorHAnsi"/>
                <w:i/>
                <w:sz w:val="18"/>
                <w:szCs w:val="18"/>
              </w:rPr>
              <w:t xml:space="preserve">J Am </w:t>
            </w:r>
            <w:proofErr w:type="spellStart"/>
            <w:r w:rsidRPr="00A70111">
              <w:rPr>
                <w:rFonts w:cstheme="minorHAnsi"/>
                <w:i/>
                <w:sz w:val="18"/>
                <w:szCs w:val="18"/>
              </w:rPr>
              <w:t>Geriatr</w:t>
            </w:r>
            <w:proofErr w:type="spellEnd"/>
            <w:r w:rsidRPr="00A70111">
              <w:rPr>
                <w:rFonts w:cstheme="minorHAnsi"/>
                <w:i/>
                <w:sz w:val="18"/>
                <w:szCs w:val="18"/>
              </w:rPr>
              <w:t xml:space="preserve"> Soc. </w:t>
            </w:r>
            <w:r w:rsidRPr="00A70111">
              <w:rPr>
                <w:rFonts w:cstheme="minorHAnsi"/>
                <w:sz w:val="18"/>
                <w:szCs w:val="18"/>
              </w:rPr>
              <w:t>Mar 2006</w:t>
            </w:r>
            <w:proofErr w:type="gramStart"/>
            <w:r w:rsidRPr="00A70111">
              <w:rPr>
                <w:rFonts w:cstheme="minorHAnsi"/>
                <w:sz w:val="18"/>
                <w:szCs w:val="18"/>
              </w:rPr>
              <w:t>;54</w:t>
            </w:r>
            <w:proofErr w:type="gramEnd"/>
            <w:r w:rsidRPr="00A70111">
              <w:rPr>
                <w:rFonts w:cstheme="minorHAnsi"/>
                <w:sz w:val="18"/>
                <w:szCs w:val="18"/>
              </w:rPr>
              <w:t>(3):535-540.</w:t>
            </w:r>
          </w:p>
        </w:tc>
      </w:tr>
      <w:tr w:rsidR="00C27937" w:rsidRPr="00774157" w14:paraId="5B5F0A84" w14:textId="0CA3CE2A" w:rsidTr="00B361F3">
        <w:trPr>
          <w:trHeight w:val="432"/>
          <w:jc w:val="center"/>
        </w:trPr>
        <w:tc>
          <w:tcPr>
            <w:tcW w:w="695" w:type="dxa"/>
            <w:tcBorders>
              <w:top w:val="single" w:sz="2" w:space="0" w:color="000000"/>
              <w:bottom w:val="single" w:sz="2" w:space="0" w:color="000000"/>
            </w:tcBorders>
            <w:vAlign w:val="center"/>
          </w:tcPr>
          <w:p w14:paraId="6C211717" w14:textId="77777777" w:rsidR="00C27937" w:rsidRPr="00BE3EE4" w:rsidRDefault="00C27937" w:rsidP="00C27937">
            <w:pPr>
              <w:spacing w:after="0" w:line="240" w:lineRule="auto"/>
              <w:rPr>
                <w:rFonts w:cs="Arial"/>
                <w:b/>
                <w:sz w:val="20"/>
                <w:szCs w:val="20"/>
              </w:rPr>
            </w:pPr>
            <w:r w:rsidRPr="00BE3EE4">
              <w:rPr>
                <w:rFonts w:cs="Arial"/>
                <w:b/>
                <w:sz w:val="20"/>
                <w:szCs w:val="20"/>
              </w:rPr>
              <w:t>Class 11</w:t>
            </w:r>
          </w:p>
        </w:tc>
        <w:tc>
          <w:tcPr>
            <w:tcW w:w="928" w:type="dxa"/>
            <w:tcBorders>
              <w:top w:val="single" w:sz="2" w:space="0" w:color="000000"/>
              <w:bottom w:val="single" w:sz="2" w:space="0" w:color="000000"/>
            </w:tcBorders>
            <w:vAlign w:val="center"/>
          </w:tcPr>
          <w:p w14:paraId="5AB37EA9" w14:textId="42C81144" w:rsidR="00C27937" w:rsidRPr="007C037E" w:rsidRDefault="00C27937" w:rsidP="00B361F3">
            <w:pPr>
              <w:pStyle w:val="NoSpacing"/>
              <w:rPr>
                <w:rFonts w:cs="Arial"/>
                <w:sz w:val="20"/>
                <w:szCs w:val="20"/>
              </w:rPr>
            </w:pPr>
            <w:r w:rsidRPr="00F32131">
              <w:rPr>
                <w:rFonts w:cs="Arial"/>
                <w:sz w:val="20"/>
                <w:szCs w:val="20"/>
              </w:rPr>
              <w:t xml:space="preserve">Mar. </w:t>
            </w:r>
            <w:r w:rsidRPr="00B361F3">
              <w:rPr>
                <w:rFonts w:cs="Arial"/>
                <w:sz w:val="20"/>
                <w:szCs w:val="20"/>
              </w:rPr>
              <w:t>25</w:t>
            </w:r>
          </w:p>
        </w:tc>
        <w:tc>
          <w:tcPr>
            <w:tcW w:w="1952" w:type="dxa"/>
            <w:tcBorders>
              <w:top w:val="single" w:sz="2" w:space="0" w:color="000000"/>
              <w:bottom w:val="single" w:sz="2" w:space="0" w:color="000000"/>
            </w:tcBorders>
            <w:vAlign w:val="center"/>
          </w:tcPr>
          <w:p w14:paraId="4C93C0FA" w14:textId="19C8DC1D" w:rsidR="00C27937" w:rsidRPr="007C037E" w:rsidRDefault="00362DBC">
            <w:pPr>
              <w:pStyle w:val="NoSpacing"/>
              <w:rPr>
                <w:rFonts w:cs="Arial"/>
                <w:sz w:val="20"/>
                <w:szCs w:val="20"/>
              </w:rPr>
            </w:pPr>
            <w:r w:rsidRPr="00322876">
              <w:rPr>
                <w:rFonts w:cstheme="minorHAnsi"/>
                <w:sz w:val="20"/>
                <w:szCs w:val="20"/>
              </w:rPr>
              <w:t>Partnered and participatory Research, Non-Health settings</w:t>
            </w:r>
            <w:r w:rsidRPr="00BE3EE4" w:rsidDel="00374E24">
              <w:rPr>
                <w:rFonts w:cs="Arial"/>
                <w:sz w:val="20"/>
                <w:szCs w:val="20"/>
              </w:rPr>
              <w:t xml:space="preserve"> </w:t>
            </w:r>
          </w:p>
        </w:tc>
        <w:tc>
          <w:tcPr>
            <w:tcW w:w="1258" w:type="dxa"/>
            <w:tcBorders>
              <w:top w:val="single" w:sz="2" w:space="0" w:color="000000"/>
              <w:bottom w:val="single" w:sz="2" w:space="0" w:color="000000"/>
            </w:tcBorders>
            <w:vAlign w:val="center"/>
          </w:tcPr>
          <w:p w14:paraId="31DB78C0" w14:textId="77777777" w:rsidR="00C27937" w:rsidRPr="007C037E" w:rsidRDefault="00C27937" w:rsidP="007C037E">
            <w:pPr>
              <w:pStyle w:val="NoSpacing"/>
              <w:rPr>
                <w:rFonts w:cs="Arial"/>
                <w:sz w:val="20"/>
                <w:szCs w:val="20"/>
              </w:rPr>
            </w:pPr>
          </w:p>
        </w:tc>
        <w:tc>
          <w:tcPr>
            <w:tcW w:w="6147" w:type="dxa"/>
            <w:tcBorders>
              <w:top w:val="single" w:sz="2" w:space="0" w:color="000000"/>
              <w:bottom w:val="single" w:sz="2" w:space="0" w:color="000000"/>
            </w:tcBorders>
          </w:tcPr>
          <w:p w14:paraId="20EE8DFA" w14:textId="77777777" w:rsidR="00362DBC" w:rsidRPr="00322876" w:rsidRDefault="00362DBC" w:rsidP="00362DBC">
            <w:pPr>
              <w:pStyle w:val="NoSpacing"/>
              <w:ind w:left="252" w:hanging="252"/>
              <w:rPr>
                <w:rFonts w:cstheme="minorHAnsi"/>
                <w:b/>
                <w:sz w:val="18"/>
                <w:szCs w:val="18"/>
              </w:rPr>
            </w:pPr>
            <w:r w:rsidRPr="00322876">
              <w:rPr>
                <w:rFonts w:cstheme="minorHAnsi"/>
                <w:b/>
                <w:sz w:val="18"/>
                <w:szCs w:val="18"/>
              </w:rPr>
              <w:t>Core:</w:t>
            </w:r>
          </w:p>
          <w:p w14:paraId="7AC9862C" w14:textId="77777777" w:rsidR="00362DBC" w:rsidRPr="00322876" w:rsidRDefault="00362DBC" w:rsidP="00362DBC">
            <w:pPr>
              <w:pStyle w:val="NoSpacing"/>
              <w:ind w:left="180" w:hanging="180"/>
              <w:rPr>
                <w:rFonts w:cstheme="minorHAnsi"/>
                <w:sz w:val="18"/>
                <w:szCs w:val="18"/>
              </w:rPr>
            </w:pPr>
            <w:r w:rsidRPr="00322876">
              <w:rPr>
                <w:rFonts w:cstheme="minorHAnsi"/>
                <w:sz w:val="18"/>
                <w:szCs w:val="18"/>
              </w:rPr>
              <w:t>Holt. Opportunities and challenges in conducting community-engaged D&amp;I research (2017) TBM.</w:t>
            </w:r>
          </w:p>
          <w:p w14:paraId="202D4015" w14:textId="77777777" w:rsidR="00362DBC" w:rsidRPr="00322876" w:rsidRDefault="00362DBC" w:rsidP="00362DBC">
            <w:pPr>
              <w:pStyle w:val="NoSpacing"/>
              <w:ind w:left="180" w:hanging="180"/>
              <w:rPr>
                <w:rFonts w:cstheme="minorHAnsi"/>
                <w:sz w:val="18"/>
                <w:szCs w:val="18"/>
              </w:rPr>
            </w:pPr>
            <w:r w:rsidRPr="00322876">
              <w:rPr>
                <w:rFonts w:cstheme="minorHAnsi"/>
                <w:sz w:val="18"/>
                <w:szCs w:val="18"/>
              </w:rPr>
              <w:t xml:space="preserve">Ch. 11.  </w:t>
            </w:r>
            <w:proofErr w:type="spellStart"/>
            <w:r w:rsidRPr="00322876">
              <w:rPr>
                <w:rFonts w:cstheme="minorHAnsi"/>
                <w:sz w:val="18"/>
                <w:szCs w:val="18"/>
              </w:rPr>
              <w:t>Minkler</w:t>
            </w:r>
            <w:proofErr w:type="spellEnd"/>
            <w:r w:rsidRPr="00322876">
              <w:rPr>
                <w:rFonts w:cstheme="minorHAnsi"/>
                <w:sz w:val="18"/>
                <w:szCs w:val="18"/>
              </w:rPr>
              <w:t xml:space="preserve">, M. Participatory Approaches for Study Design and Analysis in Dissemination and Implementation Research.  </w:t>
            </w:r>
          </w:p>
          <w:p w14:paraId="03002BB1" w14:textId="77777777" w:rsidR="00362DBC" w:rsidRPr="00322876" w:rsidRDefault="00362DBC" w:rsidP="00362DBC">
            <w:pPr>
              <w:pStyle w:val="NoSpacing"/>
              <w:ind w:left="252" w:hanging="252"/>
              <w:rPr>
                <w:rFonts w:cstheme="minorHAnsi"/>
                <w:sz w:val="18"/>
                <w:szCs w:val="18"/>
              </w:rPr>
            </w:pPr>
            <w:r w:rsidRPr="00322876">
              <w:rPr>
                <w:rFonts w:cstheme="minorHAnsi"/>
                <w:sz w:val="18"/>
                <w:szCs w:val="18"/>
              </w:rPr>
              <w:t>Ch. 21.  Vinson, CA. Dissemination and Implementation Research in Community and Public Health Settings.</w:t>
            </w:r>
          </w:p>
          <w:p w14:paraId="3898D269" w14:textId="77777777" w:rsidR="00362DBC" w:rsidRPr="00322876" w:rsidRDefault="00362DBC" w:rsidP="00362DBC">
            <w:pPr>
              <w:pStyle w:val="NoSpacing"/>
              <w:ind w:left="252" w:hanging="252"/>
              <w:rPr>
                <w:rFonts w:cstheme="minorHAnsi"/>
                <w:sz w:val="18"/>
                <w:szCs w:val="18"/>
              </w:rPr>
            </w:pPr>
            <w:r w:rsidRPr="00322876">
              <w:rPr>
                <w:rFonts w:cstheme="minorHAnsi"/>
                <w:sz w:val="18"/>
                <w:szCs w:val="18"/>
              </w:rPr>
              <w:t xml:space="preserve">Ch. 22.  </w:t>
            </w:r>
            <w:proofErr w:type="spellStart"/>
            <w:r w:rsidRPr="00322876">
              <w:rPr>
                <w:rFonts w:cstheme="minorHAnsi"/>
                <w:sz w:val="18"/>
                <w:szCs w:val="18"/>
              </w:rPr>
              <w:t>McMillen</w:t>
            </w:r>
            <w:proofErr w:type="spellEnd"/>
            <w:r w:rsidRPr="00322876">
              <w:rPr>
                <w:rFonts w:cstheme="minorHAnsi"/>
                <w:sz w:val="18"/>
                <w:szCs w:val="18"/>
              </w:rPr>
              <w:t>, JC. Dissemination and Implementation in Social Service Settings.</w:t>
            </w:r>
          </w:p>
          <w:p w14:paraId="59CCC6F5" w14:textId="77777777" w:rsidR="00362DBC" w:rsidRPr="00322876" w:rsidRDefault="00362DBC" w:rsidP="00362DBC">
            <w:pPr>
              <w:pStyle w:val="NoSpacing"/>
              <w:ind w:left="252" w:hanging="252"/>
              <w:rPr>
                <w:rFonts w:cstheme="minorHAnsi"/>
                <w:b/>
                <w:sz w:val="18"/>
                <w:szCs w:val="18"/>
              </w:rPr>
            </w:pPr>
            <w:r w:rsidRPr="00322876">
              <w:rPr>
                <w:rFonts w:cstheme="minorHAnsi"/>
                <w:b/>
                <w:sz w:val="18"/>
                <w:szCs w:val="18"/>
              </w:rPr>
              <w:t>Additional:</w:t>
            </w:r>
          </w:p>
          <w:p w14:paraId="1FF99A6B" w14:textId="77777777" w:rsidR="00362DBC" w:rsidRPr="00322876" w:rsidRDefault="00362DBC" w:rsidP="00362DBC">
            <w:pPr>
              <w:pStyle w:val="NoSpacing"/>
              <w:ind w:left="252" w:hanging="252"/>
              <w:rPr>
                <w:rFonts w:cstheme="minorHAnsi"/>
                <w:sz w:val="18"/>
                <w:szCs w:val="18"/>
              </w:rPr>
            </w:pPr>
            <w:r w:rsidRPr="00322876">
              <w:rPr>
                <w:rFonts w:cstheme="minorHAnsi"/>
                <w:sz w:val="18"/>
                <w:szCs w:val="18"/>
              </w:rPr>
              <w:t>Blachman-Demner; Fostering integrated approaches to dissemination and implementation and community engaged research, Translational Behavioral Medicine, Volume 7, Issue 3, 1 September 2017, Pages 543–546</w:t>
            </w:r>
          </w:p>
          <w:p w14:paraId="0328E2E6" w14:textId="28B55208" w:rsidR="00C27937" w:rsidRPr="007C037E" w:rsidRDefault="00362DBC" w:rsidP="00F3714C">
            <w:pPr>
              <w:pStyle w:val="NoSpacing"/>
              <w:ind w:left="252" w:hanging="252"/>
              <w:rPr>
                <w:rFonts w:cstheme="minorHAnsi"/>
                <w:sz w:val="18"/>
                <w:szCs w:val="18"/>
              </w:rPr>
            </w:pPr>
            <w:proofErr w:type="spellStart"/>
            <w:r w:rsidRPr="00322876">
              <w:rPr>
                <w:rFonts w:cstheme="minorHAnsi"/>
                <w:sz w:val="18"/>
                <w:szCs w:val="18"/>
              </w:rPr>
              <w:t>Boothroyd</w:t>
            </w:r>
            <w:proofErr w:type="spellEnd"/>
            <w:r w:rsidRPr="00322876">
              <w:rPr>
                <w:rFonts w:cstheme="minorHAnsi"/>
                <w:sz w:val="18"/>
                <w:szCs w:val="18"/>
              </w:rPr>
              <w:t>; Active involved community partnerships: co-creating implementation infrastructure for getting to and sustaining social impact, Translational Behavioral Medicine, Volume 7, Issue 3, 1 September 2017, Pages 467–477</w:t>
            </w:r>
          </w:p>
        </w:tc>
      </w:tr>
      <w:tr w:rsidR="00C27937" w:rsidRPr="00774157" w14:paraId="77A1B876" w14:textId="52954986" w:rsidTr="00B361F3">
        <w:trPr>
          <w:trHeight w:val="432"/>
          <w:jc w:val="center"/>
        </w:trPr>
        <w:tc>
          <w:tcPr>
            <w:tcW w:w="695" w:type="dxa"/>
            <w:tcBorders>
              <w:top w:val="single" w:sz="2" w:space="0" w:color="000000"/>
              <w:bottom w:val="single" w:sz="2" w:space="0" w:color="000000"/>
            </w:tcBorders>
            <w:vAlign w:val="center"/>
          </w:tcPr>
          <w:p w14:paraId="68233FAB" w14:textId="77777777" w:rsidR="00C27937" w:rsidRPr="00BE3EE4" w:rsidRDefault="00C27937" w:rsidP="00C27937">
            <w:pPr>
              <w:spacing w:after="0" w:line="240" w:lineRule="auto"/>
              <w:rPr>
                <w:rFonts w:cs="Arial"/>
                <w:b/>
                <w:sz w:val="20"/>
                <w:szCs w:val="20"/>
              </w:rPr>
            </w:pPr>
            <w:r w:rsidRPr="00BE3EE4">
              <w:rPr>
                <w:rFonts w:cs="Arial"/>
                <w:b/>
                <w:sz w:val="20"/>
                <w:szCs w:val="20"/>
              </w:rPr>
              <w:t>Class 12</w:t>
            </w:r>
          </w:p>
        </w:tc>
        <w:tc>
          <w:tcPr>
            <w:tcW w:w="928" w:type="dxa"/>
            <w:tcBorders>
              <w:top w:val="single" w:sz="2" w:space="0" w:color="000000"/>
              <w:bottom w:val="single" w:sz="2" w:space="0" w:color="000000"/>
            </w:tcBorders>
            <w:vAlign w:val="center"/>
          </w:tcPr>
          <w:p w14:paraId="1ABFEB6A" w14:textId="53C6E57E" w:rsidR="00C27937" w:rsidRPr="00EE3ED7" w:rsidRDefault="00C27937" w:rsidP="00B361F3">
            <w:pPr>
              <w:spacing w:after="0" w:line="240" w:lineRule="auto"/>
              <w:rPr>
                <w:rFonts w:cs="Arial"/>
                <w:sz w:val="20"/>
                <w:szCs w:val="20"/>
              </w:rPr>
            </w:pPr>
            <w:r w:rsidRPr="00F32131">
              <w:rPr>
                <w:rFonts w:cs="Arial"/>
                <w:sz w:val="20"/>
                <w:szCs w:val="20"/>
              </w:rPr>
              <w:t>Apr. 1</w:t>
            </w:r>
          </w:p>
        </w:tc>
        <w:tc>
          <w:tcPr>
            <w:tcW w:w="1952" w:type="dxa"/>
            <w:tcBorders>
              <w:top w:val="single" w:sz="2" w:space="0" w:color="000000"/>
              <w:bottom w:val="single" w:sz="2" w:space="0" w:color="000000"/>
            </w:tcBorders>
            <w:vAlign w:val="center"/>
          </w:tcPr>
          <w:p w14:paraId="73D8F165" w14:textId="77777777" w:rsidR="009A0B67" w:rsidRPr="00EE3ED7" w:rsidRDefault="009A0B67" w:rsidP="00B361F3">
            <w:pPr>
              <w:pStyle w:val="NoSpacing"/>
              <w:rPr>
                <w:rFonts w:cstheme="minorHAnsi"/>
                <w:sz w:val="20"/>
                <w:szCs w:val="20"/>
              </w:rPr>
            </w:pPr>
            <w:r w:rsidRPr="00EE3ED7">
              <w:rPr>
                <w:rFonts w:cstheme="minorHAnsi"/>
                <w:sz w:val="20"/>
                <w:szCs w:val="20"/>
              </w:rPr>
              <w:t>Adaptation/fidelity</w:t>
            </w:r>
          </w:p>
          <w:p w14:paraId="3CCF4BF5" w14:textId="105EE413" w:rsidR="00C27937" w:rsidRPr="00BE3EE4" w:rsidRDefault="009A0B67" w:rsidP="00EE3ED7">
            <w:pPr>
              <w:spacing w:after="0" w:line="240" w:lineRule="auto"/>
              <w:rPr>
                <w:rFonts w:cs="Arial"/>
                <w:b/>
                <w:sz w:val="20"/>
                <w:szCs w:val="20"/>
              </w:rPr>
            </w:pPr>
            <w:r w:rsidRPr="00EE3ED7">
              <w:rPr>
                <w:rFonts w:cstheme="minorHAnsi"/>
                <w:sz w:val="20"/>
                <w:szCs w:val="20"/>
              </w:rPr>
              <w:t>Disparities</w:t>
            </w:r>
            <w:r w:rsidRPr="00EE3ED7" w:rsidDel="00E14933">
              <w:rPr>
                <w:rFonts w:cstheme="minorHAnsi"/>
                <w:sz w:val="20"/>
                <w:szCs w:val="20"/>
              </w:rPr>
              <w:t xml:space="preserve"> </w:t>
            </w:r>
          </w:p>
        </w:tc>
        <w:tc>
          <w:tcPr>
            <w:tcW w:w="1258" w:type="dxa"/>
            <w:tcBorders>
              <w:top w:val="single" w:sz="2" w:space="0" w:color="000000"/>
              <w:bottom w:val="single" w:sz="2" w:space="0" w:color="000000"/>
            </w:tcBorders>
            <w:vAlign w:val="center"/>
          </w:tcPr>
          <w:p w14:paraId="5ABA198E" w14:textId="77777777" w:rsidR="00C27937" w:rsidRPr="00F32131" w:rsidRDefault="00C27937" w:rsidP="00EE3ED7">
            <w:pPr>
              <w:spacing w:after="0" w:line="240" w:lineRule="auto"/>
              <w:rPr>
                <w:rFonts w:cs="Arial"/>
                <w:b/>
                <w:sz w:val="20"/>
                <w:szCs w:val="20"/>
              </w:rPr>
            </w:pPr>
          </w:p>
        </w:tc>
        <w:tc>
          <w:tcPr>
            <w:tcW w:w="6147" w:type="dxa"/>
            <w:tcBorders>
              <w:top w:val="single" w:sz="2" w:space="0" w:color="000000"/>
              <w:bottom w:val="single" w:sz="2" w:space="0" w:color="000000"/>
            </w:tcBorders>
          </w:tcPr>
          <w:p w14:paraId="42E48D6B" w14:textId="77777777" w:rsidR="009A0B67" w:rsidRPr="00EE3ED7" w:rsidRDefault="009A0B67" w:rsidP="009A0B67">
            <w:pPr>
              <w:pStyle w:val="NoSpacing"/>
              <w:ind w:left="252" w:hanging="252"/>
              <w:rPr>
                <w:rFonts w:cstheme="minorHAnsi"/>
                <w:b/>
                <w:sz w:val="18"/>
                <w:szCs w:val="18"/>
              </w:rPr>
            </w:pPr>
            <w:r w:rsidRPr="00EE3ED7">
              <w:rPr>
                <w:rFonts w:cstheme="minorHAnsi"/>
                <w:b/>
                <w:sz w:val="18"/>
                <w:szCs w:val="18"/>
              </w:rPr>
              <w:t>Core:</w:t>
            </w:r>
          </w:p>
          <w:p w14:paraId="55120A67" w14:textId="77777777" w:rsidR="009A0B67" w:rsidRPr="00EE3ED7" w:rsidRDefault="009A0B67" w:rsidP="009A0B67">
            <w:pPr>
              <w:pStyle w:val="NoSpacing"/>
              <w:ind w:left="252" w:hanging="252"/>
              <w:rPr>
                <w:rFonts w:cstheme="minorHAnsi"/>
                <w:sz w:val="18"/>
                <w:szCs w:val="18"/>
              </w:rPr>
            </w:pPr>
            <w:r w:rsidRPr="00EE3ED7">
              <w:rPr>
                <w:rFonts w:cstheme="minorHAnsi"/>
                <w:sz w:val="18"/>
                <w:szCs w:val="18"/>
              </w:rPr>
              <w:t>Ch. 16. Fidelity and Its Relationship to Implementation Effectiveness, Adaptation, and Dis</w:t>
            </w:r>
            <w:bookmarkStart w:id="0" w:name="_GoBack"/>
            <w:bookmarkEnd w:id="0"/>
            <w:r w:rsidRPr="00EE3ED7">
              <w:rPr>
                <w:rFonts w:cstheme="minorHAnsi"/>
                <w:sz w:val="18"/>
                <w:szCs w:val="18"/>
              </w:rPr>
              <w:t>semination</w:t>
            </w:r>
          </w:p>
          <w:p w14:paraId="3025E4AA" w14:textId="77777777" w:rsidR="009A0B67" w:rsidRPr="00EE3ED7" w:rsidRDefault="009A0B67" w:rsidP="009A0B67">
            <w:pPr>
              <w:pStyle w:val="NoSpacing"/>
              <w:ind w:left="252" w:hanging="252"/>
              <w:rPr>
                <w:rFonts w:cstheme="minorHAnsi"/>
                <w:sz w:val="18"/>
                <w:szCs w:val="18"/>
              </w:rPr>
            </w:pPr>
            <w:r w:rsidRPr="00EE3ED7">
              <w:rPr>
                <w:rFonts w:cstheme="minorHAnsi"/>
                <w:sz w:val="18"/>
                <w:szCs w:val="18"/>
              </w:rPr>
              <w:t>Ch. 17. Baumann A. Adaptation in Dissemination and Implementation Science</w:t>
            </w:r>
          </w:p>
          <w:p w14:paraId="38C22008" w14:textId="77777777" w:rsidR="009A0B67" w:rsidRPr="00EE3ED7" w:rsidRDefault="009A0B67" w:rsidP="009A0B67">
            <w:pPr>
              <w:pStyle w:val="NoSpacing"/>
              <w:ind w:left="252" w:hanging="252"/>
              <w:rPr>
                <w:rFonts w:cstheme="minorHAnsi"/>
                <w:b/>
                <w:sz w:val="18"/>
                <w:szCs w:val="18"/>
              </w:rPr>
            </w:pPr>
            <w:r w:rsidRPr="00EE3ED7">
              <w:rPr>
                <w:rFonts w:cstheme="minorHAnsi"/>
                <w:b/>
                <w:sz w:val="18"/>
                <w:szCs w:val="18"/>
              </w:rPr>
              <w:t>Additional:</w:t>
            </w:r>
          </w:p>
          <w:p w14:paraId="0A539752" w14:textId="77777777" w:rsidR="009A0B67" w:rsidRPr="00EE3ED7" w:rsidRDefault="009A0B67" w:rsidP="009A0B67">
            <w:pPr>
              <w:pStyle w:val="NormalWeb"/>
              <w:spacing w:before="0" w:beforeAutospacing="0" w:after="0" w:afterAutospacing="0"/>
              <w:ind w:left="252" w:hanging="252"/>
              <w:rPr>
                <w:rFonts w:asciiTheme="minorHAnsi" w:hAnsiTheme="minorHAnsi" w:cstheme="minorHAnsi"/>
                <w:sz w:val="18"/>
                <w:szCs w:val="18"/>
              </w:rPr>
            </w:pPr>
            <w:r w:rsidRPr="00EE3ED7">
              <w:rPr>
                <w:rFonts w:asciiTheme="minorHAnsi" w:hAnsiTheme="minorHAnsi" w:cstheme="minorHAnsi"/>
                <w:sz w:val="18"/>
                <w:szCs w:val="18"/>
              </w:rPr>
              <w:t>Cabassa, L. J., &amp; Baumann, A. A. (2013). A two-way street: bridging implementation science and cultural adaptations of mental health treatments. </w:t>
            </w:r>
            <w:r w:rsidRPr="00EE3ED7">
              <w:rPr>
                <w:rFonts w:asciiTheme="minorHAnsi" w:hAnsiTheme="minorHAnsi" w:cstheme="minorHAnsi"/>
                <w:i/>
                <w:iCs/>
                <w:sz w:val="18"/>
                <w:szCs w:val="18"/>
              </w:rPr>
              <w:t xml:space="preserve">Implement </w:t>
            </w:r>
            <w:proofErr w:type="spellStart"/>
            <w:r w:rsidRPr="00EE3ED7">
              <w:rPr>
                <w:rFonts w:asciiTheme="minorHAnsi" w:hAnsiTheme="minorHAnsi" w:cstheme="minorHAnsi"/>
                <w:i/>
                <w:iCs/>
                <w:sz w:val="18"/>
                <w:szCs w:val="18"/>
              </w:rPr>
              <w:t>Sci</w:t>
            </w:r>
            <w:proofErr w:type="spellEnd"/>
            <w:r w:rsidRPr="00EE3ED7">
              <w:rPr>
                <w:rFonts w:asciiTheme="minorHAnsi" w:hAnsiTheme="minorHAnsi" w:cstheme="minorHAnsi"/>
                <w:sz w:val="18"/>
                <w:szCs w:val="18"/>
              </w:rPr>
              <w:t>, </w:t>
            </w:r>
            <w:r w:rsidRPr="00EE3ED7">
              <w:rPr>
                <w:rFonts w:asciiTheme="minorHAnsi" w:hAnsiTheme="minorHAnsi" w:cstheme="minorHAnsi"/>
                <w:i/>
                <w:iCs/>
                <w:sz w:val="18"/>
                <w:szCs w:val="18"/>
              </w:rPr>
              <w:t>8</w:t>
            </w:r>
            <w:r w:rsidRPr="00EE3ED7">
              <w:rPr>
                <w:rFonts w:asciiTheme="minorHAnsi" w:hAnsiTheme="minorHAnsi" w:cstheme="minorHAnsi"/>
                <w:sz w:val="18"/>
                <w:szCs w:val="18"/>
              </w:rPr>
              <w:t>(1), 90.</w:t>
            </w:r>
          </w:p>
          <w:p w14:paraId="43E0D20C" w14:textId="77777777" w:rsidR="009A0B67" w:rsidRPr="00EE3ED7" w:rsidRDefault="009A0B67" w:rsidP="009A0B67">
            <w:pPr>
              <w:pStyle w:val="NoSpacing"/>
              <w:ind w:left="252" w:hanging="252"/>
              <w:rPr>
                <w:rFonts w:cstheme="minorHAnsi"/>
                <w:sz w:val="18"/>
                <w:szCs w:val="18"/>
              </w:rPr>
            </w:pPr>
            <w:r w:rsidRPr="00EE3ED7">
              <w:rPr>
                <w:rFonts w:cstheme="minorHAnsi"/>
                <w:sz w:val="18"/>
                <w:szCs w:val="18"/>
              </w:rPr>
              <w:t xml:space="preserve">Diner BM, Carpenter CR, O'Connell T, et al. Graduate medical education and knowledge translation: role models, information pipelines, and practice change thresholds. </w:t>
            </w:r>
            <w:proofErr w:type="spellStart"/>
            <w:r w:rsidRPr="00EE3ED7">
              <w:rPr>
                <w:rFonts w:cstheme="minorHAnsi"/>
                <w:i/>
                <w:sz w:val="18"/>
                <w:szCs w:val="18"/>
              </w:rPr>
              <w:t>Acad</w:t>
            </w:r>
            <w:proofErr w:type="spellEnd"/>
            <w:r w:rsidRPr="00EE3ED7">
              <w:rPr>
                <w:rFonts w:cstheme="minorHAnsi"/>
                <w:i/>
                <w:sz w:val="18"/>
                <w:szCs w:val="18"/>
              </w:rPr>
              <w:t xml:space="preserve"> </w:t>
            </w:r>
            <w:proofErr w:type="spellStart"/>
            <w:r w:rsidRPr="00EE3ED7">
              <w:rPr>
                <w:rFonts w:cstheme="minorHAnsi"/>
                <w:i/>
                <w:sz w:val="18"/>
                <w:szCs w:val="18"/>
              </w:rPr>
              <w:t>Emerg</w:t>
            </w:r>
            <w:proofErr w:type="spellEnd"/>
            <w:r w:rsidRPr="00EE3ED7">
              <w:rPr>
                <w:rFonts w:cstheme="minorHAnsi"/>
                <w:i/>
                <w:sz w:val="18"/>
                <w:szCs w:val="18"/>
              </w:rPr>
              <w:t xml:space="preserve"> Med. </w:t>
            </w:r>
            <w:r w:rsidRPr="00EE3ED7">
              <w:rPr>
                <w:rFonts w:cstheme="minorHAnsi"/>
                <w:sz w:val="18"/>
                <w:szCs w:val="18"/>
              </w:rPr>
              <w:t>Nov 2007</w:t>
            </w:r>
            <w:proofErr w:type="gramStart"/>
            <w:r w:rsidRPr="00EE3ED7">
              <w:rPr>
                <w:rFonts w:cstheme="minorHAnsi"/>
                <w:sz w:val="18"/>
                <w:szCs w:val="18"/>
              </w:rPr>
              <w:t>;14</w:t>
            </w:r>
            <w:proofErr w:type="gramEnd"/>
            <w:r w:rsidRPr="00EE3ED7">
              <w:rPr>
                <w:rFonts w:cstheme="minorHAnsi"/>
                <w:sz w:val="18"/>
                <w:szCs w:val="18"/>
              </w:rPr>
              <w:t>(11):1008-1014.</w:t>
            </w:r>
          </w:p>
          <w:p w14:paraId="22E6E51C" w14:textId="77777777" w:rsidR="009A0B67" w:rsidRPr="00EE3ED7" w:rsidRDefault="009A0B67" w:rsidP="009A0B67">
            <w:pPr>
              <w:pStyle w:val="NormalWeb"/>
              <w:spacing w:before="0" w:beforeAutospacing="0" w:after="0" w:afterAutospacing="0"/>
              <w:ind w:left="252" w:hanging="252"/>
              <w:rPr>
                <w:rFonts w:asciiTheme="minorHAnsi" w:hAnsiTheme="minorHAnsi" w:cstheme="minorHAnsi"/>
                <w:sz w:val="18"/>
                <w:szCs w:val="18"/>
              </w:rPr>
            </w:pPr>
            <w:r w:rsidRPr="00EE3ED7">
              <w:rPr>
                <w:rFonts w:asciiTheme="minorHAnsi" w:hAnsiTheme="minorHAnsi" w:cstheme="minorHAnsi"/>
                <w:sz w:val="18"/>
                <w:szCs w:val="18"/>
              </w:rPr>
              <w:t xml:space="preserve">Stirman, S. W., Miller, C. J., </w:t>
            </w:r>
            <w:proofErr w:type="spellStart"/>
            <w:r w:rsidRPr="00EE3ED7">
              <w:rPr>
                <w:rFonts w:asciiTheme="minorHAnsi" w:hAnsiTheme="minorHAnsi" w:cstheme="minorHAnsi"/>
                <w:sz w:val="18"/>
                <w:szCs w:val="18"/>
              </w:rPr>
              <w:t>Toder</w:t>
            </w:r>
            <w:proofErr w:type="spellEnd"/>
            <w:r w:rsidRPr="00EE3ED7">
              <w:rPr>
                <w:rFonts w:asciiTheme="minorHAnsi" w:hAnsiTheme="minorHAnsi" w:cstheme="minorHAnsi"/>
                <w:sz w:val="18"/>
                <w:szCs w:val="18"/>
              </w:rPr>
              <w:t>, K., &amp; Calloway, A. (2013). Development of a framework and coding system for modifications and adaptations of evidence-based interventions. </w:t>
            </w:r>
            <w:r w:rsidRPr="00EE3ED7">
              <w:rPr>
                <w:rFonts w:asciiTheme="minorHAnsi" w:hAnsiTheme="minorHAnsi" w:cstheme="minorHAnsi"/>
                <w:i/>
                <w:iCs/>
                <w:sz w:val="18"/>
                <w:szCs w:val="18"/>
              </w:rPr>
              <w:t xml:space="preserve">Implement </w:t>
            </w:r>
            <w:proofErr w:type="spellStart"/>
            <w:r w:rsidRPr="00EE3ED7">
              <w:rPr>
                <w:rFonts w:asciiTheme="minorHAnsi" w:hAnsiTheme="minorHAnsi" w:cstheme="minorHAnsi"/>
                <w:i/>
                <w:iCs/>
                <w:sz w:val="18"/>
                <w:szCs w:val="18"/>
              </w:rPr>
              <w:t>Sci</w:t>
            </w:r>
            <w:proofErr w:type="spellEnd"/>
            <w:r w:rsidRPr="00EE3ED7">
              <w:rPr>
                <w:rFonts w:asciiTheme="minorHAnsi" w:hAnsiTheme="minorHAnsi" w:cstheme="minorHAnsi"/>
                <w:sz w:val="18"/>
                <w:szCs w:val="18"/>
              </w:rPr>
              <w:t>, </w:t>
            </w:r>
            <w:r w:rsidRPr="00EE3ED7">
              <w:rPr>
                <w:rFonts w:asciiTheme="minorHAnsi" w:hAnsiTheme="minorHAnsi" w:cstheme="minorHAnsi"/>
                <w:i/>
                <w:iCs/>
                <w:sz w:val="18"/>
                <w:szCs w:val="18"/>
              </w:rPr>
              <w:t>8</w:t>
            </w:r>
            <w:r w:rsidRPr="00EE3ED7">
              <w:rPr>
                <w:rFonts w:asciiTheme="minorHAnsi" w:hAnsiTheme="minorHAnsi" w:cstheme="minorHAnsi"/>
                <w:sz w:val="18"/>
                <w:szCs w:val="18"/>
              </w:rPr>
              <w:t>(1), 65.</w:t>
            </w:r>
          </w:p>
          <w:p w14:paraId="0EF03958" w14:textId="77777777" w:rsidR="009A0B67" w:rsidRPr="00EE3ED7" w:rsidRDefault="009A0B67" w:rsidP="009A0B67">
            <w:pPr>
              <w:pStyle w:val="NormalWeb"/>
              <w:spacing w:before="0" w:beforeAutospacing="0" w:after="0" w:afterAutospacing="0"/>
              <w:ind w:left="252" w:hanging="252"/>
              <w:rPr>
                <w:rFonts w:asciiTheme="minorHAnsi" w:hAnsiTheme="minorHAnsi" w:cstheme="minorHAnsi"/>
                <w:sz w:val="18"/>
                <w:szCs w:val="18"/>
              </w:rPr>
            </w:pPr>
            <w:r w:rsidRPr="00EE3ED7">
              <w:rPr>
                <w:rFonts w:asciiTheme="minorHAnsi" w:hAnsiTheme="minorHAnsi" w:cstheme="minorHAnsi"/>
                <w:sz w:val="18"/>
                <w:szCs w:val="18"/>
              </w:rPr>
              <w:lastRenderedPageBreak/>
              <w:t xml:space="preserve">Chambers. The </w:t>
            </w:r>
            <w:proofErr w:type="spellStart"/>
            <w:proofErr w:type="gramStart"/>
            <w:r w:rsidRPr="00EE3ED7">
              <w:rPr>
                <w:rFonts w:asciiTheme="minorHAnsi" w:hAnsiTheme="minorHAnsi" w:cstheme="minorHAnsi"/>
                <w:sz w:val="18"/>
                <w:szCs w:val="18"/>
              </w:rPr>
              <w:t>Adaptome</w:t>
            </w:r>
            <w:proofErr w:type="spellEnd"/>
            <w:r w:rsidRPr="00EE3ED7">
              <w:rPr>
                <w:rFonts w:asciiTheme="minorHAnsi" w:hAnsiTheme="minorHAnsi" w:cstheme="minorHAnsi"/>
                <w:sz w:val="18"/>
                <w:szCs w:val="18"/>
              </w:rPr>
              <w:t xml:space="preserve">  Advancing</w:t>
            </w:r>
            <w:proofErr w:type="gramEnd"/>
            <w:r w:rsidRPr="00EE3ED7">
              <w:rPr>
                <w:rFonts w:asciiTheme="minorHAnsi" w:hAnsiTheme="minorHAnsi" w:cstheme="minorHAnsi"/>
                <w:sz w:val="18"/>
                <w:szCs w:val="18"/>
              </w:rPr>
              <w:t xml:space="preserve"> the Science of Intervention Adaptation. Am J </w:t>
            </w:r>
            <w:proofErr w:type="spellStart"/>
            <w:r w:rsidRPr="00EE3ED7">
              <w:rPr>
                <w:rFonts w:asciiTheme="minorHAnsi" w:hAnsiTheme="minorHAnsi" w:cstheme="minorHAnsi"/>
                <w:sz w:val="18"/>
                <w:szCs w:val="18"/>
              </w:rPr>
              <w:t>Prev</w:t>
            </w:r>
            <w:proofErr w:type="spellEnd"/>
            <w:r w:rsidRPr="00EE3ED7">
              <w:rPr>
                <w:rFonts w:asciiTheme="minorHAnsi" w:hAnsiTheme="minorHAnsi" w:cstheme="minorHAnsi"/>
                <w:sz w:val="18"/>
                <w:szCs w:val="18"/>
              </w:rPr>
              <w:t xml:space="preserve"> Med 2016;51(4S2):S124–S131</w:t>
            </w:r>
          </w:p>
          <w:p w14:paraId="5A71A5F8" w14:textId="77777777" w:rsidR="009A0B67" w:rsidRPr="00EE3ED7" w:rsidRDefault="009A0B67" w:rsidP="00EE3ED7">
            <w:pPr>
              <w:spacing w:after="0" w:line="240" w:lineRule="auto"/>
              <w:ind w:left="252" w:hanging="252"/>
              <w:rPr>
                <w:rFonts w:cstheme="minorHAnsi"/>
                <w:sz w:val="18"/>
                <w:szCs w:val="18"/>
                <w:shd w:val="clear" w:color="auto" w:fill="FFFFFF"/>
              </w:rPr>
            </w:pPr>
            <w:proofErr w:type="spellStart"/>
            <w:r w:rsidRPr="00EE3ED7">
              <w:rPr>
                <w:rFonts w:cstheme="minorHAnsi"/>
                <w:sz w:val="18"/>
                <w:szCs w:val="18"/>
                <w:shd w:val="clear" w:color="auto" w:fill="FFFFFF"/>
              </w:rPr>
              <w:t>Escoffery</w:t>
            </w:r>
            <w:proofErr w:type="spellEnd"/>
            <w:r w:rsidRPr="00EE3ED7">
              <w:rPr>
                <w:rFonts w:cstheme="minorHAnsi"/>
                <w:sz w:val="18"/>
                <w:szCs w:val="18"/>
                <w:shd w:val="clear" w:color="auto" w:fill="FFFFFF"/>
              </w:rPr>
              <w:t>, Cam, et al. "A scoping study of frameworks for adapting public health evidence-based interventions." </w:t>
            </w:r>
            <w:r w:rsidRPr="00EE3ED7">
              <w:rPr>
                <w:rFonts w:cstheme="minorHAnsi"/>
                <w:i/>
                <w:iCs/>
                <w:sz w:val="18"/>
                <w:szCs w:val="18"/>
                <w:shd w:val="clear" w:color="auto" w:fill="FFFFFF"/>
              </w:rPr>
              <w:t>Translational behavioral medicine</w:t>
            </w:r>
            <w:r w:rsidRPr="00EE3ED7">
              <w:rPr>
                <w:rFonts w:cstheme="minorHAnsi"/>
                <w:sz w:val="18"/>
                <w:szCs w:val="18"/>
                <w:shd w:val="clear" w:color="auto" w:fill="FFFFFF"/>
              </w:rPr>
              <w:t> (2018).</w:t>
            </w:r>
          </w:p>
          <w:p w14:paraId="44328DD2" w14:textId="7E09D65D" w:rsidR="00C27937" w:rsidRPr="00EE3ED7" w:rsidRDefault="009A0B67" w:rsidP="00EE3ED7">
            <w:pPr>
              <w:spacing w:after="0" w:line="240" w:lineRule="auto"/>
              <w:ind w:left="252" w:hanging="252"/>
              <w:rPr>
                <w:rFonts w:cstheme="minorHAnsi"/>
                <w:sz w:val="18"/>
                <w:szCs w:val="18"/>
                <w:shd w:val="clear" w:color="auto" w:fill="FFFFFF"/>
              </w:rPr>
            </w:pPr>
            <w:proofErr w:type="spellStart"/>
            <w:r w:rsidRPr="00EE3ED7">
              <w:rPr>
                <w:rFonts w:cstheme="minorHAnsi"/>
                <w:sz w:val="18"/>
                <w:szCs w:val="18"/>
              </w:rPr>
              <w:t>Chinman</w:t>
            </w:r>
            <w:proofErr w:type="spellEnd"/>
            <w:r w:rsidRPr="00EE3ED7">
              <w:rPr>
                <w:rFonts w:cstheme="minorHAnsi"/>
                <w:sz w:val="18"/>
                <w:szCs w:val="18"/>
              </w:rPr>
              <w:t xml:space="preserve">. Harnessing Implementation Science to Increase the Impact of Health Equity Research. Medical Care. Volume 55, Number 9 </w:t>
            </w:r>
            <w:proofErr w:type="spellStart"/>
            <w:r w:rsidRPr="00EE3ED7">
              <w:rPr>
                <w:rFonts w:cstheme="minorHAnsi"/>
                <w:sz w:val="18"/>
                <w:szCs w:val="18"/>
              </w:rPr>
              <w:t>Suppl</w:t>
            </w:r>
            <w:proofErr w:type="spellEnd"/>
            <w:r w:rsidRPr="00EE3ED7">
              <w:rPr>
                <w:rFonts w:cstheme="minorHAnsi"/>
                <w:sz w:val="18"/>
                <w:szCs w:val="18"/>
              </w:rPr>
              <w:t xml:space="preserve"> 2, September 2017</w:t>
            </w:r>
          </w:p>
        </w:tc>
      </w:tr>
      <w:tr w:rsidR="00C27937" w:rsidRPr="00774157" w14:paraId="7AAF5E59" w14:textId="62779099" w:rsidTr="00B361F3">
        <w:trPr>
          <w:trHeight w:val="432"/>
          <w:jc w:val="center"/>
        </w:trPr>
        <w:tc>
          <w:tcPr>
            <w:tcW w:w="695" w:type="dxa"/>
            <w:tcBorders>
              <w:top w:val="single" w:sz="2" w:space="0" w:color="000000"/>
              <w:bottom w:val="single" w:sz="2" w:space="0" w:color="000000"/>
            </w:tcBorders>
            <w:vAlign w:val="center"/>
          </w:tcPr>
          <w:p w14:paraId="122E8B7E" w14:textId="77777777" w:rsidR="00C27937" w:rsidRPr="00BE3EE4" w:rsidRDefault="00C27937" w:rsidP="00C27937">
            <w:pPr>
              <w:spacing w:after="0" w:line="240" w:lineRule="auto"/>
              <w:rPr>
                <w:rFonts w:cs="Arial"/>
                <w:b/>
                <w:sz w:val="20"/>
                <w:szCs w:val="20"/>
              </w:rPr>
            </w:pPr>
            <w:r w:rsidRPr="00BE3EE4">
              <w:rPr>
                <w:rFonts w:cs="Arial"/>
                <w:b/>
                <w:sz w:val="20"/>
                <w:szCs w:val="20"/>
              </w:rPr>
              <w:lastRenderedPageBreak/>
              <w:t>Class 13</w:t>
            </w:r>
          </w:p>
        </w:tc>
        <w:tc>
          <w:tcPr>
            <w:tcW w:w="928" w:type="dxa"/>
            <w:tcBorders>
              <w:top w:val="single" w:sz="2" w:space="0" w:color="000000"/>
              <w:bottom w:val="single" w:sz="2" w:space="0" w:color="000000"/>
            </w:tcBorders>
            <w:vAlign w:val="center"/>
          </w:tcPr>
          <w:p w14:paraId="00C30B4D" w14:textId="4D5C5466" w:rsidR="00C27937" w:rsidRPr="00322876" w:rsidRDefault="00C27937" w:rsidP="00B361F3">
            <w:pPr>
              <w:pStyle w:val="NoSpacing"/>
              <w:rPr>
                <w:rFonts w:cs="Arial"/>
                <w:sz w:val="20"/>
                <w:szCs w:val="20"/>
              </w:rPr>
            </w:pPr>
            <w:r w:rsidRPr="00F32131">
              <w:rPr>
                <w:rFonts w:cs="Arial"/>
                <w:sz w:val="20"/>
                <w:szCs w:val="20"/>
              </w:rPr>
              <w:t xml:space="preserve">Apr. </w:t>
            </w:r>
            <w:r w:rsidRPr="00B361F3">
              <w:rPr>
                <w:rFonts w:cs="Arial"/>
                <w:sz w:val="20"/>
                <w:szCs w:val="20"/>
              </w:rPr>
              <w:t>8</w:t>
            </w:r>
          </w:p>
        </w:tc>
        <w:tc>
          <w:tcPr>
            <w:tcW w:w="1952" w:type="dxa"/>
            <w:tcBorders>
              <w:top w:val="single" w:sz="2" w:space="0" w:color="000000"/>
              <w:bottom w:val="single" w:sz="2" w:space="0" w:color="000000"/>
            </w:tcBorders>
            <w:vAlign w:val="center"/>
          </w:tcPr>
          <w:p w14:paraId="59931592" w14:textId="6A1EB354" w:rsidR="00C27937" w:rsidRPr="00F32131" w:rsidRDefault="00AE6BB3" w:rsidP="00B361F3">
            <w:pPr>
              <w:pStyle w:val="NoSpacing"/>
              <w:rPr>
                <w:rFonts w:cs="Arial"/>
                <w:b/>
                <w:sz w:val="20"/>
                <w:szCs w:val="20"/>
              </w:rPr>
            </w:pPr>
            <w:r w:rsidRPr="00322876">
              <w:rPr>
                <w:rFonts w:cstheme="minorHAnsi"/>
                <w:sz w:val="20"/>
                <w:szCs w:val="20"/>
              </w:rPr>
              <w:t>Systems science methods</w:t>
            </w:r>
            <w:r w:rsidRPr="00BE3EE4" w:rsidDel="00374E24">
              <w:rPr>
                <w:rFonts w:cs="Arial"/>
                <w:b/>
                <w:sz w:val="20"/>
                <w:szCs w:val="20"/>
              </w:rPr>
              <w:t xml:space="preserve"> </w:t>
            </w:r>
          </w:p>
        </w:tc>
        <w:tc>
          <w:tcPr>
            <w:tcW w:w="1258" w:type="dxa"/>
            <w:tcBorders>
              <w:top w:val="single" w:sz="2" w:space="0" w:color="000000"/>
              <w:bottom w:val="single" w:sz="2" w:space="0" w:color="000000"/>
            </w:tcBorders>
            <w:vAlign w:val="center"/>
          </w:tcPr>
          <w:p w14:paraId="4EDC26B1" w14:textId="77777777" w:rsidR="00C27937" w:rsidRPr="00B361F3" w:rsidRDefault="00C27937" w:rsidP="00322876">
            <w:pPr>
              <w:pStyle w:val="NoSpacing"/>
              <w:rPr>
                <w:rFonts w:cs="Arial"/>
                <w:b/>
                <w:sz w:val="20"/>
                <w:szCs w:val="20"/>
              </w:rPr>
            </w:pPr>
          </w:p>
        </w:tc>
        <w:tc>
          <w:tcPr>
            <w:tcW w:w="6147" w:type="dxa"/>
            <w:tcBorders>
              <w:top w:val="single" w:sz="2" w:space="0" w:color="000000"/>
              <w:bottom w:val="single" w:sz="2" w:space="0" w:color="000000"/>
            </w:tcBorders>
            <w:vAlign w:val="center"/>
          </w:tcPr>
          <w:p w14:paraId="26CBBEF9" w14:textId="77777777" w:rsidR="00AE6BB3" w:rsidRPr="00322876" w:rsidRDefault="00AE6BB3" w:rsidP="00322876">
            <w:pPr>
              <w:pStyle w:val="NoSpacing"/>
              <w:ind w:left="252" w:hanging="252"/>
              <w:rPr>
                <w:rFonts w:cstheme="minorHAnsi"/>
                <w:b/>
                <w:sz w:val="18"/>
                <w:szCs w:val="18"/>
              </w:rPr>
            </w:pPr>
            <w:r w:rsidRPr="00322876">
              <w:rPr>
                <w:rFonts w:cstheme="minorHAnsi"/>
                <w:b/>
                <w:sz w:val="18"/>
                <w:szCs w:val="18"/>
              </w:rPr>
              <w:t>Core:</w:t>
            </w:r>
          </w:p>
          <w:p w14:paraId="716A1A57" w14:textId="77777777" w:rsidR="00AE6BB3" w:rsidRPr="00322876" w:rsidRDefault="00AE6BB3" w:rsidP="00322876">
            <w:pPr>
              <w:pStyle w:val="NoSpacing"/>
              <w:ind w:left="180" w:hanging="180"/>
              <w:rPr>
                <w:rFonts w:cstheme="minorHAnsi"/>
                <w:sz w:val="18"/>
                <w:szCs w:val="18"/>
              </w:rPr>
            </w:pPr>
            <w:r w:rsidRPr="00322876">
              <w:rPr>
                <w:rFonts w:cstheme="minorHAnsi"/>
                <w:sz w:val="18"/>
                <w:szCs w:val="18"/>
              </w:rPr>
              <w:t xml:space="preserve">Ch. 10.  Luke, DA. Systems science methods in dissemination and implementation research.  </w:t>
            </w:r>
          </w:p>
          <w:p w14:paraId="0E816B2D" w14:textId="77777777" w:rsidR="00AE6BB3" w:rsidRPr="00322876" w:rsidRDefault="00AE6BB3" w:rsidP="00322876">
            <w:pPr>
              <w:pStyle w:val="NoSpacing"/>
              <w:ind w:left="252" w:hanging="252"/>
              <w:rPr>
                <w:rFonts w:cstheme="minorHAnsi"/>
                <w:b/>
                <w:sz w:val="18"/>
                <w:szCs w:val="18"/>
              </w:rPr>
            </w:pPr>
            <w:r w:rsidRPr="00322876">
              <w:rPr>
                <w:rFonts w:cstheme="minorHAnsi"/>
                <w:b/>
                <w:sz w:val="18"/>
                <w:szCs w:val="18"/>
              </w:rPr>
              <w:t>Additional:</w:t>
            </w:r>
          </w:p>
          <w:p w14:paraId="15F962A9" w14:textId="77777777" w:rsidR="00AE6BB3" w:rsidRPr="00322876" w:rsidRDefault="00AE6BB3" w:rsidP="00322876">
            <w:pPr>
              <w:spacing w:after="0" w:line="240" w:lineRule="auto"/>
              <w:ind w:left="252" w:hanging="252"/>
              <w:rPr>
                <w:rFonts w:cstheme="minorHAnsi"/>
                <w:sz w:val="18"/>
                <w:szCs w:val="18"/>
              </w:rPr>
            </w:pPr>
            <w:r w:rsidRPr="00322876">
              <w:rPr>
                <w:rFonts w:cstheme="minorHAnsi"/>
                <w:sz w:val="18"/>
                <w:szCs w:val="18"/>
              </w:rPr>
              <w:t xml:space="preserve">Luke DA, Stamatakis KA. Systems science methods in public health: dynamics, networks, and agents. </w:t>
            </w:r>
            <w:proofErr w:type="spellStart"/>
            <w:r w:rsidRPr="00322876">
              <w:rPr>
                <w:rFonts w:cstheme="minorHAnsi"/>
                <w:i/>
                <w:sz w:val="18"/>
                <w:szCs w:val="18"/>
              </w:rPr>
              <w:t>Annu</w:t>
            </w:r>
            <w:proofErr w:type="spellEnd"/>
            <w:r w:rsidRPr="00322876">
              <w:rPr>
                <w:rFonts w:cstheme="minorHAnsi"/>
                <w:i/>
                <w:sz w:val="18"/>
                <w:szCs w:val="18"/>
              </w:rPr>
              <w:t xml:space="preserve"> Rev Public Health. </w:t>
            </w:r>
            <w:r w:rsidRPr="00322876">
              <w:rPr>
                <w:rFonts w:cstheme="minorHAnsi"/>
                <w:sz w:val="18"/>
                <w:szCs w:val="18"/>
              </w:rPr>
              <w:t>Apr 2012;33:357-376</w:t>
            </w:r>
          </w:p>
          <w:p w14:paraId="71C1019C" w14:textId="77777777" w:rsidR="00AE6BB3" w:rsidRPr="00322876" w:rsidRDefault="00AE6BB3" w:rsidP="00322876">
            <w:pPr>
              <w:spacing w:after="0" w:line="240" w:lineRule="auto"/>
              <w:ind w:left="252" w:hanging="252"/>
              <w:rPr>
                <w:rFonts w:cstheme="minorHAnsi"/>
                <w:sz w:val="18"/>
                <w:szCs w:val="18"/>
              </w:rPr>
            </w:pPr>
            <w:r w:rsidRPr="00322876">
              <w:rPr>
                <w:rFonts w:cstheme="minorHAnsi"/>
                <w:sz w:val="18"/>
                <w:szCs w:val="18"/>
              </w:rPr>
              <w:t xml:space="preserve">Valente TW, Pitts SR. An Appraisal of Social Network Theory and Analysis as Applied to Public Health: Challenges and Opportunities. </w:t>
            </w:r>
            <w:proofErr w:type="spellStart"/>
            <w:r w:rsidRPr="00322876">
              <w:rPr>
                <w:rFonts w:cstheme="minorHAnsi"/>
                <w:i/>
                <w:sz w:val="18"/>
                <w:szCs w:val="18"/>
              </w:rPr>
              <w:t>Annu</w:t>
            </w:r>
            <w:proofErr w:type="spellEnd"/>
            <w:r w:rsidRPr="00322876">
              <w:rPr>
                <w:rFonts w:cstheme="minorHAnsi"/>
                <w:i/>
                <w:sz w:val="18"/>
                <w:szCs w:val="18"/>
              </w:rPr>
              <w:t xml:space="preserve"> Rev Public Health. </w:t>
            </w:r>
            <w:r w:rsidRPr="00322876">
              <w:rPr>
                <w:rFonts w:cstheme="minorHAnsi"/>
                <w:sz w:val="18"/>
                <w:szCs w:val="18"/>
              </w:rPr>
              <w:t>Mar 20 2017;38:103-118</w:t>
            </w:r>
          </w:p>
          <w:p w14:paraId="1FF31939" w14:textId="1E02F014" w:rsidR="00C27937" w:rsidRPr="00322876" w:rsidRDefault="00AE6BB3" w:rsidP="00322876">
            <w:pPr>
              <w:spacing w:after="0" w:line="240" w:lineRule="auto"/>
              <w:ind w:left="252" w:hanging="252"/>
              <w:rPr>
                <w:rFonts w:cstheme="minorHAnsi"/>
                <w:sz w:val="18"/>
                <w:szCs w:val="18"/>
              </w:rPr>
            </w:pPr>
            <w:r w:rsidRPr="00322876">
              <w:rPr>
                <w:rFonts w:cstheme="minorHAnsi"/>
                <w:sz w:val="18"/>
                <w:szCs w:val="18"/>
              </w:rPr>
              <w:t xml:space="preserve">Tracy M, Cerda M, Keyes KM. Agent-Based Modeling in Public Health: Current Applications and Future Directions. </w:t>
            </w:r>
            <w:proofErr w:type="spellStart"/>
            <w:r w:rsidRPr="00322876">
              <w:rPr>
                <w:rFonts w:cstheme="minorHAnsi"/>
                <w:i/>
                <w:sz w:val="18"/>
                <w:szCs w:val="18"/>
              </w:rPr>
              <w:t>Annu</w:t>
            </w:r>
            <w:proofErr w:type="spellEnd"/>
            <w:r w:rsidRPr="00322876">
              <w:rPr>
                <w:rFonts w:cstheme="minorHAnsi"/>
                <w:i/>
                <w:sz w:val="18"/>
                <w:szCs w:val="18"/>
              </w:rPr>
              <w:t xml:space="preserve"> Rev Public Health. </w:t>
            </w:r>
            <w:r w:rsidRPr="00322876">
              <w:rPr>
                <w:rFonts w:cstheme="minorHAnsi"/>
                <w:sz w:val="18"/>
                <w:szCs w:val="18"/>
              </w:rPr>
              <w:t>Apr 1 2018;39:77-94</w:t>
            </w:r>
          </w:p>
        </w:tc>
      </w:tr>
      <w:tr w:rsidR="00C27937" w:rsidRPr="00774157" w14:paraId="68D905F8" w14:textId="4C1B58CD" w:rsidTr="00B361F3">
        <w:trPr>
          <w:trHeight w:val="432"/>
          <w:jc w:val="center"/>
        </w:trPr>
        <w:tc>
          <w:tcPr>
            <w:tcW w:w="695" w:type="dxa"/>
            <w:tcBorders>
              <w:top w:val="single" w:sz="2" w:space="0" w:color="000000"/>
              <w:bottom w:val="single" w:sz="2" w:space="0" w:color="000000"/>
            </w:tcBorders>
            <w:vAlign w:val="center"/>
          </w:tcPr>
          <w:p w14:paraId="34C37425" w14:textId="77777777" w:rsidR="00C27937" w:rsidRPr="00BE3EE4" w:rsidRDefault="00C27937" w:rsidP="00C27937">
            <w:pPr>
              <w:spacing w:after="0" w:line="240" w:lineRule="auto"/>
              <w:rPr>
                <w:rFonts w:cs="Arial"/>
                <w:b/>
                <w:sz w:val="20"/>
                <w:szCs w:val="20"/>
              </w:rPr>
            </w:pPr>
            <w:r w:rsidRPr="00BE3EE4">
              <w:rPr>
                <w:rFonts w:cs="Arial"/>
                <w:b/>
                <w:sz w:val="20"/>
                <w:szCs w:val="20"/>
              </w:rPr>
              <w:t>Class 14</w:t>
            </w:r>
          </w:p>
        </w:tc>
        <w:tc>
          <w:tcPr>
            <w:tcW w:w="928" w:type="dxa"/>
            <w:tcBorders>
              <w:top w:val="single" w:sz="2" w:space="0" w:color="000000"/>
              <w:bottom w:val="single" w:sz="2" w:space="0" w:color="000000"/>
            </w:tcBorders>
            <w:vAlign w:val="center"/>
          </w:tcPr>
          <w:p w14:paraId="25180575" w14:textId="496467BB" w:rsidR="00C27937" w:rsidRPr="00322876" w:rsidRDefault="00C27937" w:rsidP="00B361F3">
            <w:pPr>
              <w:spacing w:after="0" w:line="240" w:lineRule="auto"/>
              <w:rPr>
                <w:rFonts w:cs="Arial"/>
                <w:sz w:val="20"/>
                <w:szCs w:val="20"/>
              </w:rPr>
            </w:pPr>
            <w:r w:rsidRPr="00F32131">
              <w:rPr>
                <w:rFonts w:cs="Arial"/>
                <w:sz w:val="20"/>
                <w:szCs w:val="20"/>
              </w:rPr>
              <w:t xml:space="preserve">Apr. </w:t>
            </w:r>
            <w:r w:rsidRPr="00B361F3">
              <w:rPr>
                <w:rFonts w:cs="Arial"/>
                <w:sz w:val="20"/>
                <w:szCs w:val="20"/>
              </w:rPr>
              <w:t>15</w:t>
            </w:r>
          </w:p>
        </w:tc>
        <w:tc>
          <w:tcPr>
            <w:tcW w:w="1952" w:type="dxa"/>
            <w:tcBorders>
              <w:top w:val="single" w:sz="2" w:space="0" w:color="000000"/>
              <w:bottom w:val="single" w:sz="2" w:space="0" w:color="000000"/>
            </w:tcBorders>
            <w:vAlign w:val="center"/>
          </w:tcPr>
          <w:p w14:paraId="2C020532" w14:textId="77777777" w:rsidR="00362DBC" w:rsidRPr="007C037E" w:rsidRDefault="00362DBC" w:rsidP="00362DBC">
            <w:pPr>
              <w:pStyle w:val="NoSpacing"/>
              <w:rPr>
                <w:rFonts w:cstheme="minorHAnsi"/>
                <w:sz w:val="20"/>
                <w:szCs w:val="20"/>
              </w:rPr>
            </w:pPr>
            <w:r w:rsidRPr="007C037E">
              <w:rPr>
                <w:rFonts w:cstheme="minorHAnsi"/>
                <w:sz w:val="20"/>
                <w:szCs w:val="20"/>
              </w:rPr>
              <w:t>Designing for dissemination, impact and sustainability</w:t>
            </w:r>
          </w:p>
          <w:p w14:paraId="648E2747" w14:textId="77777777" w:rsidR="00362DBC" w:rsidRPr="007C037E" w:rsidRDefault="00362DBC" w:rsidP="00362DBC">
            <w:pPr>
              <w:pStyle w:val="NoSpacing"/>
              <w:rPr>
                <w:rFonts w:cstheme="minorHAnsi"/>
                <w:sz w:val="20"/>
                <w:szCs w:val="20"/>
              </w:rPr>
            </w:pPr>
          </w:p>
          <w:p w14:paraId="75C02F07" w14:textId="2482B14D" w:rsidR="00C27937" w:rsidRPr="00322876" w:rsidRDefault="00362DBC" w:rsidP="00362DBC">
            <w:pPr>
              <w:pStyle w:val="NoSpacing"/>
              <w:rPr>
                <w:rFonts w:cs="Arial"/>
                <w:sz w:val="20"/>
                <w:szCs w:val="20"/>
              </w:rPr>
            </w:pPr>
            <w:r w:rsidRPr="007C037E">
              <w:rPr>
                <w:rFonts w:cstheme="minorHAnsi"/>
                <w:sz w:val="20"/>
                <w:szCs w:val="20"/>
              </w:rPr>
              <w:t>D4DIS case study</w:t>
            </w:r>
            <w:r w:rsidRPr="00BE3EE4" w:rsidDel="00374E24">
              <w:rPr>
                <w:rFonts w:cs="Arial"/>
                <w:sz w:val="20"/>
                <w:szCs w:val="20"/>
              </w:rPr>
              <w:t xml:space="preserve"> </w:t>
            </w:r>
          </w:p>
        </w:tc>
        <w:tc>
          <w:tcPr>
            <w:tcW w:w="1258" w:type="dxa"/>
            <w:tcBorders>
              <w:top w:val="single" w:sz="2" w:space="0" w:color="000000"/>
              <w:bottom w:val="single" w:sz="2" w:space="0" w:color="000000"/>
            </w:tcBorders>
            <w:vAlign w:val="center"/>
          </w:tcPr>
          <w:p w14:paraId="1E820180" w14:textId="77777777" w:rsidR="00C27937" w:rsidRPr="00322876" w:rsidRDefault="00C27937" w:rsidP="00322876">
            <w:pPr>
              <w:pStyle w:val="NoSpacing"/>
              <w:rPr>
                <w:rFonts w:cs="Arial"/>
                <w:sz w:val="20"/>
                <w:szCs w:val="20"/>
              </w:rPr>
            </w:pPr>
          </w:p>
        </w:tc>
        <w:tc>
          <w:tcPr>
            <w:tcW w:w="6147" w:type="dxa"/>
            <w:tcBorders>
              <w:top w:val="single" w:sz="2" w:space="0" w:color="000000"/>
              <w:bottom w:val="single" w:sz="2" w:space="0" w:color="000000"/>
            </w:tcBorders>
            <w:vAlign w:val="center"/>
          </w:tcPr>
          <w:p w14:paraId="0C533527" w14:textId="77777777" w:rsidR="00362DBC" w:rsidRPr="007C037E" w:rsidRDefault="00362DBC" w:rsidP="00362DBC">
            <w:pPr>
              <w:pStyle w:val="NoSpacing"/>
              <w:ind w:left="252" w:hanging="252"/>
              <w:rPr>
                <w:rFonts w:cstheme="minorHAnsi"/>
                <w:b/>
                <w:sz w:val="18"/>
                <w:szCs w:val="18"/>
              </w:rPr>
            </w:pPr>
            <w:r w:rsidRPr="007C037E">
              <w:rPr>
                <w:rFonts w:cstheme="minorHAnsi"/>
                <w:b/>
                <w:sz w:val="18"/>
                <w:szCs w:val="18"/>
              </w:rPr>
              <w:t>Core:</w:t>
            </w:r>
          </w:p>
          <w:p w14:paraId="6F2ABE68" w14:textId="77777777" w:rsidR="00362DBC" w:rsidRPr="007C037E" w:rsidRDefault="00362DBC" w:rsidP="00362DBC">
            <w:pPr>
              <w:pStyle w:val="NoSpacing"/>
              <w:ind w:left="180" w:hanging="180"/>
              <w:rPr>
                <w:rFonts w:cstheme="minorHAnsi"/>
                <w:sz w:val="18"/>
                <w:szCs w:val="18"/>
              </w:rPr>
            </w:pPr>
            <w:r w:rsidRPr="007C037E">
              <w:rPr>
                <w:rFonts w:cstheme="minorHAnsi"/>
                <w:sz w:val="18"/>
                <w:szCs w:val="18"/>
              </w:rPr>
              <w:t xml:space="preserve">Chambers, D. A., Glasgow, R. E., &amp; </w:t>
            </w:r>
            <w:proofErr w:type="spellStart"/>
            <w:r w:rsidRPr="007C037E">
              <w:rPr>
                <w:rFonts w:cstheme="minorHAnsi"/>
                <w:sz w:val="18"/>
                <w:szCs w:val="18"/>
              </w:rPr>
              <w:t>Stange</w:t>
            </w:r>
            <w:proofErr w:type="spellEnd"/>
            <w:r w:rsidRPr="007C037E">
              <w:rPr>
                <w:rFonts w:cstheme="minorHAnsi"/>
                <w:sz w:val="18"/>
                <w:szCs w:val="18"/>
              </w:rPr>
              <w:t xml:space="preserve">, K. C. (2013). The dynamic sustainability framework: addressing the paradox of sustainment amid ongoing change. Implementation Science, 8(1), 117. </w:t>
            </w:r>
          </w:p>
          <w:p w14:paraId="55D7802F" w14:textId="77777777" w:rsidR="00362DBC" w:rsidRPr="007C037E" w:rsidRDefault="00362DBC" w:rsidP="00362DBC">
            <w:pPr>
              <w:pStyle w:val="NoSpacing"/>
              <w:ind w:left="180" w:hanging="180"/>
              <w:rPr>
                <w:rFonts w:cstheme="minorHAnsi"/>
                <w:sz w:val="18"/>
                <w:szCs w:val="18"/>
              </w:rPr>
            </w:pPr>
            <w:r w:rsidRPr="007C037E">
              <w:rPr>
                <w:rFonts w:cstheme="minorHAnsi"/>
                <w:sz w:val="18"/>
                <w:szCs w:val="18"/>
              </w:rPr>
              <w:t xml:space="preserve">Shelton RC, Cooper BR, Stirman SW. The Sustainability of Evidence-Based Interventions and Practices in Public Health and Health Care. </w:t>
            </w:r>
            <w:proofErr w:type="spellStart"/>
            <w:r w:rsidRPr="007C037E">
              <w:rPr>
                <w:rFonts w:cstheme="minorHAnsi"/>
                <w:i/>
                <w:sz w:val="18"/>
                <w:szCs w:val="18"/>
              </w:rPr>
              <w:t>Annu</w:t>
            </w:r>
            <w:proofErr w:type="spellEnd"/>
            <w:r w:rsidRPr="007C037E">
              <w:rPr>
                <w:rFonts w:cstheme="minorHAnsi"/>
                <w:i/>
                <w:sz w:val="18"/>
                <w:szCs w:val="18"/>
              </w:rPr>
              <w:t xml:space="preserve"> Rev Public Health. </w:t>
            </w:r>
            <w:r w:rsidRPr="007C037E">
              <w:rPr>
                <w:rFonts w:cstheme="minorHAnsi"/>
                <w:sz w:val="18"/>
                <w:szCs w:val="18"/>
              </w:rPr>
              <w:t>Apr 1 2018;39:55-76</w:t>
            </w:r>
          </w:p>
          <w:p w14:paraId="475D7433" w14:textId="77777777" w:rsidR="00362DBC" w:rsidRPr="007C037E" w:rsidRDefault="00362DBC" w:rsidP="00362DBC">
            <w:pPr>
              <w:pStyle w:val="NoSpacing"/>
              <w:ind w:left="180" w:hanging="180"/>
              <w:rPr>
                <w:rFonts w:cstheme="minorHAnsi"/>
                <w:sz w:val="18"/>
                <w:szCs w:val="18"/>
              </w:rPr>
            </w:pPr>
            <w:r w:rsidRPr="007C037E">
              <w:rPr>
                <w:rFonts w:cstheme="minorHAnsi"/>
                <w:sz w:val="18"/>
                <w:szCs w:val="18"/>
              </w:rPr>
              <w:t>Rachel Shelton (video)</w:t>
            </w:r>
          </w:p>
          <w:p w14:paraId="673F9C4C" w14:textId="77777777" w:rsidR="00362DBC" w:rsidRPr="007C037E" w:rsidRDefault="00362DBC" w:rsidP="00362DBC">
            <w:pPr>
              <w:pStyle w:val="NoSpacing"/>
              <w:ind w:left="252" w:hanging="252"/>
              <w:rPr>
                <w:rFonts w:cstheme="minorHAnsi"/>
                <w:b/>
                <w:sz w:val="18"/>
                <w:szCs w:val="18"/>
              </w:rPr>
            </w:pPr>
            <w:r w:rsidRPr="007C037E">
              <w:rPr>
                <w:rFonts w:cstheme="minorHAnsi"/>
                <w:b/>
                <w:sz w:val="18"/>
                <w:szCs w:val="18"/>
              </w:rPr>
              <w:t>Additional:</w:t>
            </w:r>
          </w:p>
          <w:p w14:paraId="0E5BEC4D" w14:textId="77777777" w:rsidR="00362DBC" w:rsidRPr="007C037E" w:rsidRDefault="00362DBC" w:rsidP="00362DBC">
            <w:pPr>
              <w:pStyle w:val="NoSpacing"/>
              <w:ind w:left="180" w:hanging="180"/>
              <w:rPr>
                <w:rFonts w:cstheme="minorHAnsi"/>
                <w:sz w:val="18"/>
                <w:szCs w:val="18"/>
              </w:rPr>
            </w:pPr>
            <w:r w:rsidRPr="007C037E">
              <w:rPr>
                <w:rFonts w:cstheme="minorHAnsi"/>
                <w:sz w:val="18"/>
                <w:szCs w:val="18"/>
              </w:rPr>
              <w:t xml:space="preserve">Brownson RC, Jacobs JA, Tabak RG, </w:t>
            </w:r>
            <w:proofErr w:type="spellStart"/>
            <w:r w:rsidRPr="007C037E">
              <w:rPr>
                <w:rFonts w:cstheme="minorHAnsi"/>
                <w:sz w:val="18"/>
                <w:szCs w:val="18"/>
              </w:rPr>
              <w:t>Hoehner</w:t>
            </w:r>
            <w:proofErr w:type="spellEnd"/>
            <w:r w:rsidRPr="007C037E">
              <w:rPr>
                <w:rFonts w:cstheme="minorHAnsi"/>
                <w:sz w:val="18"/>
                <w:szCs w:val="18"/>
              </w:rPr>
              <w:t xml:space="preserve"> CM, Stamatakis KA. Designing for dissemination among public health researchers: findings from a national survey in the United States. Am J Public Health. Jul 18 2013</w:t>
            </w:r>
            <w:proofErr w:type="gramStart"/>
            <w:r w:rsidRPr="007C037E">
              <w:rPr>
                <w:rFonts w:cstheme="minorHAnsi"/>
                <w:sz w:val="18"/>
                <w:szCs w:val="18"/>
              </w:rPr>
              <w:t>;103</w:t>
            </w:r>
            <w:proofErr w:type="gramEnd"/>
            <w:r w:rsidRPr="007C037E">
              <w:rPr>
                <w:rFonts w:cstheme="minorHAnsi"/>
                <w:sz w:val="18"/>
                <w:szCs w:val="18"/>
              </w:rPr>
              <w:t>(9):1693-1699.</w:t>
            </w:r>
          </w:p>
          <w:p w14:paraId="2C5682CD" w14:textId="5E6B043A" w:rsidR="009D02EE" w:rsidRPr="007C037E" w:rsidRDefault="00362DBC" w:rsidP="009D02EE">
            <w:pPr>
              <w:pStyle w:val="NoSpacing"/>
              <w:ind w:left="252" w:hanging="252"/>
              <w:rPr>
                <w:rFonts w:cstheme="minorHAnsi"/>
                <w:sz w:val="18"/>
                <w:szCs w:val="18"/>
              </w:rPr>
            </w:pPr>
            <w:r w:rsidRPr="007C037E">
              <w:rPr>
                <w:rFonts w:cstheme="minorHAnsi"/>
                <w:sz w:val="18"/>
                <w:szCs w:val="18"/>
              </w:rPr>
              <w:t xml:space="preserve">Brownson RC, </w:t>
            </w:r>
            <w:proofErr w:type="spellStart"/>
            <w:r w:rsidRPr="007C037E">
              <w:rPr>
                <w:rFonts w:cstheme="minorHAnsi"/>
                <w:sz w:val="18"/>
                <w:szCs w:val="18"/>
              </w:rPr>
              <w:t>Eyler</w:t>
            </w:r>
            <w:proofErr w:type="spellEnd"/>
            <w:r w:rsidRPr="007C037E">
              <w:rPr>
                <w:rFonts w:cstheme="minorHAnsi"/>
                <w:sz w:val="18"/>
                <w:szCs w:val="18"/>
              </w:rPr>
              <w:t xml:space="preserve"> AA, Harris JK, Moore JB, Tabak RG. Getting the Word Out: New Approaches for Disseminating Public Health Science. J Public Health </w:t>
            </w:r>
            <w:proofErr w:type="spellStart"/>
            <w:r w:rsidRPr="007C037E">
              <w:rPr>
                <w:rFonts w:cstheme="minorHAnsi"/>
                <w:sz w:val="18"/>
                <w:szCs w:val="18"/>
              </w:rPr>
              <w:t>Manag</w:t>
            </w:r>
            <w:proofErr w:type="spellEnd"/>
            <w:r w:rsidRPr="007C037E">
              <w:rPr>
                <w:rFonts w:cstheme="minorHAnsi"/>
                <w:sz w:val="18"/>
                <w:szCs w:val="18"/>
              </w:rPr>
              <w:t xml:space="preserve"> </w:t>
            </w:r>
            <w:proofErr w:type="spellStart"/>
            <w:r w:rsidRPr="007C037E">
              <w:rPr>
                <w:rFonts w:cstheme="minorHAnsi"/>
                <w:sz w:val="18"/>
                <w:szCs w:val="18"/>
              </w:rPr>
              <w:t>Pract</w:t>
            </w:r>
            <w:proofErr w:type="spellEnd"/>
            <w:r w:rsidRPr="007C037E">
              <w:rPr>
                <w:rFonts w:cstheme="minorHAnsi"/>
                <w:sz w:val="18"/>
                <w:szCs w:val="18"/>
              </w:rPr>
              <w:t>. Sep 06 2017.</w:t>
            </w:r>
            <w:r w:rsidR="009D02EE" w:rsidRPr="007C037E">
              <w:rPr>
                <w:rFonts w:cstheme="minorHAnsi"/>
                <w:sz w:val="18"/>
                <w:szCs w:val="18"/>
              </w:rPr>
              <w:t xml:space="preserve"> </w:t>
            </w:r>
          </w:p>
          <w:p w14:paraId="0DE4C259" w14:textId="77777777" w:rsidR="009D02EE" w:rsidRPr="007C037E" w:rsidRDefault="009D02EE" w:rsidP="009D02EE">
            <w:pPr>
              <w:pStyle w:val="NoSpacing"/>
              <w:ind w:left="180" w:hanging="180"/>
              <w:rPr>
                <w:rFonts w:cstheme="minorHAnsi"/>
                <w:sz w:val="18"/>
                <w:szCs w:val="18"/>
              </w:rPr>
            </w:pPr>
            <w:r w:rsidRPr="007C037E">
              <w:rPr>
                <w:rFonts w:cstheme="minorHAnsi"/>
                <w:sz w:val="18"/>
                <w:szCs w:val="18"/>
              </w:rPr>
              <w:t xml:space="preserve">Stirman, S. W., Kimberly, J., Cook, N., Calloway, A., Castro, F., &amp; </w:t>
            </w:r>
            <w:proofErr w:type="spellStart"/>
            <w:r w:rsidRPr="007C037E">
              <w:rPr>
                <w:rFonts w:cstheme="minorHAnsi"/>
                <w:sz w:val="18"/>
                <w:szCs w:val="18"/>
              </w:rPr>
              <w:t>Charns</w:t>
            </w:r>
            <w:proofErr w:type="spellEnd"/>
            <w:r w:rsidRPr="007C037E">
              <w:rPr>
                <w:rFonts w:cstheme="minorHAnsi"/>
                <w:sz w:val="18"/>
                <w:szCs w:val="18"/>
              </w:rPr>
              <w:t>, M. (2012). The sustainability of new programs and innovations: a review of the empirical literature and recommendations for future research. Implementation Science, 7(1), 17.</w:t>
            </w:r>
          </w:p>
          <w:p w14:paraId="502A9A0C" w14:textId="6391DA00" w:rsidR="00C27937" w:rsidRPr="00322876" w:rsidRDefault="009D02EE" w:rsidP="00322876">
            <w:pPr>
              <w:pStyle w:val="NoSpacing"/>
              <w:ind w:left="252" w:hanging="252"/>
              <w:rPr>
                <w:rFonts w:cstheme="minorHAnsi"/>
                <w:sz w:val="18"/>
                <w:szCs w:val="18"/>
              </w:rPr>
            </w:pPr>
            <w:r w:rsidRPr="007C037E">
              <w:rPr>
                <w:rFonts w:cstheme="minorHAnsi"/>
                <w:sz w:val="18"/>
                <w:szCs w:val="18"/>
                <w:shd w:val="clear" w:color="auto" w:fill="FFFFFF"/>
              </w:rPr>
              <w:t>Schell, Sarah F., et al. "Public health program capacity for sustainability: a new framework." </w:t>
            </w:r>
            <w:r w:rsidRPr="007C037E">
              <w:rPr>
                <w:rFonts w:cstheme="minorHAnsi"/>
                <w:i/>
                <w:iCs/>
                <w:sz w:val="18"/>
                <w:szCs w:val="18"/>
                <w:shd w:val="clear" w:color="auto" w:fill="FFFFFF"/>
              </w:rPr>
              <w:t>Implementation Science</w:t>
            </w:r>
            <w:r w:rsidRPr="007C037E">
              <w:rPr>
                <w:rFonts w:cstheme="minorHAnsi"/>
                <w:sz w:val="18"/>
                <w:szCs w:val="18"/>
                <w:shd w:val="clear" w:color="auto" w:fill="FFFFFF"/>
              </w:rPr>
              <w:t> 8.1 (2013): 1.</w:t>
            </w:r>
          </w:p>
        </w:tc>
      </w:tr>
      <w:tr w:rsidR="00C27937" w:rsidRPr="00774157" w14:paraId="56B8A6E8" w14:textId="0D649594" w:rsidTr="00B361F3">
        <w:trPr>
          <w:trHeight w:val="432"/>
          <w:jc w:val="center"/>
        </w:trPr>
        <w:tc>
          <w:tcPr>
            <w:tcW w:w="695" w:type="dxa"/>
            <w:tcBorders>
              <w:top w:val="single" w:sz="2" w:space="0" w:color="000000"/>
              <w:bottom w:val="single" w:sz="2" w:space="0" w:color="000000"/>
            </w:tcBorders>
            <w:vAlign w:val="center"/>
          </w:tcPr>
          <w:p w14:paraId="68C6E09F" w14:textId="77777777" w:rsidR="00C27937" w:rsidRPr="00BE3EE4" w:rsidRDefault="00C27937" w:rsidP="00C27937">
            <w:pPr>
              <w:spacing w:after="0" w:line="240" w:lineRule="auto"/>
              <w:rPr>
                <w:rFonts w:cs="Arial"/>
                <w:b/>
                <w:sz w:val="20"/>
                <w:szCs w:val="20"/>
              </w:rPr>
            </w:pPr>
            <w:r w:rsidRPr="00BE3EE4">
              <w:rPr>
                <w:rFonts w:cs="Arial"/>
                <w:b/>
                <w:sz w:val="20"/>
                <w:szCs w:val="20"/>
              </w:rPr>
              <w:t>Class 15</w:t>
            </w:r>
          </w:p>
        </w:tc>
        <w:tc>
          <w:tcPr>
            <w:tcW w:w="928" w:type="dxa"/>
            <w:tcBorders>
              <w:top w:val="single" w:sz="2" w:space="0" w:color="000000"/>
              <w:bottom w:val="single" w:sz="2" w:space="0" w:color="000000"/>
            </w:tcBorders>
            <w:vAlign w:val="center"/>
          </w:tcPr>
          <w:p w14:paraId="6FE7FBE6" w14:textId="162B7A83" w:rsidR="00C27937" w:rsidRPr="00E84E10" w:rsidRDefault="00C27937" w:rsidP="00B361F3">
            <w:pPr>
              <w:spacing w:after="0" w:line="240" w:lineRule="auto"/>
              <w:rPr>
                <w:rFonts w:cs="Arial"/>
                <w:sz w:val="20"/>
                <w:szCs w:val="20"/>
              </w:rPr>
            </w:pPr>
            <w:r w:rsidRPr="00F32131">
              <w:rPr>
                <w:rFonts w:cs="Arial"/>
                <w:sz w:val="20"/>
                <w:szCs w:val="20"/>
              </w:rPr>
              <w:t xml:space="preserve">Apr. </w:t>
            </w:r>
            <w:r w:rsidRPr="00B361F3">
              <w:rPr>
                <w:rFonts w:cs="Arial"/>
                <w:sz w:val="20"/>
                <w:szCs w:val="20"/>
              </w:rPr>
              <w:t>22</w:t>
            </w:r>
          </w:p>
        </w:tc>
        <w:tc>
          <w:tcPr>
            <w:tcW w:w="1952" w:type="dxa"/>
            <w:tcBorders>
              <w:top w:val="single" w:sz="2" w:space="0" w:color="000000"/>
              <w:bottom w:val="single" w:sz="2" w:space="0" w:color="000000"/>
            </w:tcBorders>
            <w:vAlign w:val="center"/>
          </w:tcPr>
          <w:p w14:paraId="6ABFAF65" w14:textId="337E238D" w:rsidR="00C27937" w:rsidRPr="00E84E10" w:rsidRDefault="008F7DD7" w:rsidP="00E84E10">
            <w:pPr>
              <w:spacing w:after="0" w:line="240" w:lineRule="auto"/>
              <w:rPr>
                <w:rFonts w:cs="Arial"/>
                <w:b/>
                <w:sz w:val="20"/>
                <w:szCs w:val="20"/>
              </w:rPr>
            </w:pPr>
            <w:r w:rsidRPr="00E84E10">
              <w:rPr>
                <w:rFonts w:cstheme="minorHAnsi"/>
                <w:sz w:val="20"/>
                <w:szCs w:val="20"/>
              </w:rPr>
              <w:t xml:space="preserve">Student presentations </w:t>
            </w:r>
          </w:p>
        </w:tc>
        <w:tc>
          <w:tcPr>
            <w:tcW w:w="1258" w:type="dxa"/>
            <w:tcBorders>
              <w:top w:val="single" w:sz="2" w:space="0" w:color="000000"/>
              <w:bottom w:val="single" w:sz="2" w:space="0" w:color="000000"/>
            </w:tcBorders>
            <w:vAlign w:val="center"/>
          </w:tcPr>
          <w:p w14:paraId="62B163D0" w14:textId="47B0C1C9" w:rsidR="00C27937" w:rsidRPr="00BE3EE4" w:rsidRDefault="008F7DD7" w:rsidP="00E84E10">
            <w:pPr>
              <w:spacing w:after="0" w:line="240" w:lineRule="auto"/>
              <w:rPr>
                <w:rFonts w:cs="Arial"/>
                <w:sz w:val="20"/>
                <w:szCs w:val="20"/>
              </w:rPr>
            </w:pPr>
            <w:r w:rsidRPr="00E84E10">
              <w:rPr>
                <w:rFonts w:eastAsia="Times New Roman" w:cstheme="minorHAnsi"/>
                <w:sz w:val="20"/>
                <w:szCs w:val="20"/>
              </w:rPr>
              <w:t>Due: Presentation for project</w:t>
            </w:r>
          </w:p>
        </w:tc>
        <w:tc>
          <w:tcPr>
            <w:tcW w:w="6147" w:type="dxa"/>
            <w:tcBorders>
              <w:top w:val="single" w:sz="2" w:space="0" w:color="000000"/>
              <w:bottom w:val="single" w:sz="2" w:space="0" w:color="000000"/>
            </w:tcBorders>
            <w:vAlign w:val="center"/>
          </w:tcPr>
          <w:p w14:paraId="66CB12B9" w14:textId="7C8057B3" w:rsidR="00C27937" w:rsidRPr="00E84E10" w:rsidRDefault="00C27937" w:rsidP="00E84E10">
            <w:pPr>
              <w:spacing w:after="0" w:line="240" w:lineRule="auto"/>
              <w:rPr>
                <w:rFonts w:cs="Arial"/>
                <w:sz w:val="18"/>
                <w:szCs w:val="18"/>
              </w:rPr>
            </w:pPr>
          </w:p>
        </w:tc>
      </w:tr>
      <w:tr w:rsidR="00C27937" w:rsidRPr="00774157" w14:paraId="30D2EEA4" w14:textId="77777777" w:rsidTr="00B361F3">
        <w:trPr>
          <w:trHeight w:val="432"/>
          <w:jc w:val="center"/>
        </w:trPr>
        <w:tc>
          <w:tcPr>
            <w:tcW w:w="695" w:type="dxa"/>
            <w:tcBorders>
              <w:top w:val="single" w:sz="2" w:space="0" w:color="000000"/>
              <w:bottom w:val="single" w:sz="12" w:space="0" w:color="000000"/>
            </w:tcBorders>
            <w:vAlign w:val="center"/>
          </w:tcPr>
          <w:p w14:paraId="39654ABF" w14:textId="4725A7E9" w:rsidR="00C27937" w:rsidRPr="00BE3EE4" w:rsidRDefault="00C27937" w:rsidP="00C27937">
            <w:pPr>
              <w:spacing w:after="0" w:line="240" w:lineRule="auto"/>
              <w:rPr>
                <w:rFonts w:cs="Arial"/>
                <w:b/>
                <w:sz w:val="20"/>
                <w:szCs w:val="20"/>
              </w:rPr>
            </w:pPr>
            <w:r w:rsidRPr="00BE3EE4">
              <w:rPr>
                <w:rFonts w:cs="Arial"/>
                <w:b/>
                <w:sz w:val="20"/>
                <w:szCs w:val="20"/>
              </w:rPr>
              <w:t>Class 16</w:t>
            </w:r>
          </w:p>
        </w:tc>
        <w:tc>
          <w:tcPr>
            <w:tcW w:w="928" w:type="dxa"/>
            <w:tcBorders>
              <w:top w:val="single" w:sz="2" w:space="0" w:color="000000"/>
              <w:bottom w:val="single" w:sz="12" w:space="0" w:color="000000"/>
            </w:tcBorders>
            <w:vAlign w:val="center"/>
          </w:tcPr>
          <w:p w14:paraId="7DF15D65" w14:textId="2B592F32" w:rsidR="00C27937" w:rsidRPr="00B361F3" w:rsidRDefault="00C27937" w:rsidP="00F32131">
            <w:pPr>
              <w:spacing w:after="0" w:line="240" w:lineRule="auto"/>
              <w:rPr>
                <w:rFonts w:cs="Arial"/>
                <w:sz w:val="20"/>
                <w:szCs w:val="20"/>
              </w:rPr>
            </w:pPr>
            <w:r w:rsidRPr="00F32131">
              <w:rPr>
                <w:rFonts w:cs="Arial"/>
                <w:sz w:val="20"/>
                <w:szCs w:val="20"/>
              </w:rPr>
              <w:t xml:space="preserve">Apr. </w:t>
            </w:r>
            <w:r w:rsidRPr="00B361F3">
              <w:rPr>
                <w:rFonts w:cs="Arial"/>
                <w:sz w:val="20"/>
                <w:szCs w:val="20"/>
              </w:rPr>
              <w:t>29</w:t>
            </w:r>
          </w:p>
        </w:tc>
        <w:tc>
          <w:tcPr>
            <w:tcW w:w="1952" w:type="dxa"/>
            <w:tcBorders>
              <w:top w:val="single" w:sz="2" w:space="0" w:color="000000"/>
              <w:bottom w:val="single" w:sz="12" w:space="0" w:color="000000"/>
            </w:tcBorders>
            <w:vAlign w:val="center"/>
          </w:tcPr>
          <w:p w14:paraId="2F98EDFE" w14:textId="66A7F0EF" w:rsidR="00C27937" w:rsidRPr="00BE3EE4" w:rsidRDefault="00464C1C" w:rsidP="00F32131">
            <w:pPr>
              <w:spacing w:after="0" w:line="240" w:lineRule="auto"/>
              <w:rPr>
                <w:rFonts w:cs="Arial"/>
                <w:sz w:val="20"/>
                <w:szCs w:val="20"/>
              </w:rPr>
            </w:pPr>
            <w:r w:rsidRPr="00E84E10">
              <w:rPr>
                <w:rFonts w:cstheme="minorHAnsi"/>
                <w:sz w:val="20"/>
                <w:szCs w:val="20"/>
              </w:rPr>
              <w:t>Future issues in D&amp;I science</w:t>
            </w:r>
          </w:p>
        </w:tc>
        <w:tc>
          <w:tcPr>
            <w:tcW w:w="1258" w:type="dxa"/>
            <w:tcBorders>
              <w:top w:val="single" w:sz="2" w:space="0" w:color="000000"/>
              <w:bottom w:val="single" w:sz="12" w:space="0" w:color="000000"/>
            </w:tcBorders>
            <w:vAlign w:val="center"/>
          </w:tcPr>
          <w:p w14:paraId="18EEFE52" w14:textId="77777777" w:rsidR="00C27937" w:rsidRPr="00F32131" w:rsidRDefault="00C27937" w:rsidP="00B361F3">
            <w:pPr>
              <w:spacing w:after="0" w:line="240" w:lineRule="auto"/>
              <w:rPr>
                <w:rFonts w:cs="Arial"/>
                <w:sz w:val="20"/>
                <w:szCs w:val="20"/>
              </w:rPr>
            </w:pPr>
          </w:p>
        </w:tc>
        <w:tc>
          <w:tcPr>
            <w:tcW w:w="6147" w:type="dxa"/>
            <w:tcBorders>
              <w:top w:val="single" w:sz="2" w:space="0" w:color="000000"/>
              <w:bottom w:val="single" w:sz="12" w:space="0" w:color="000000"/>
            </w:tcBorders>
            <w:vAlign w:val="center"/>
          </w:tcPr>
          <w:p w14:paraId="4B10C6CF" w14:textId="77777777" w:rsidR="00464C1C" w:rsidRPr="00E84E10" w:rsidRDefault="00464C1C" w:rsidP="00B361F3">
            <w:pPr>
              <w:pStyle w:val="NoSpacing"/>
              <w:ind w:left="252" w:hanging="252"/>
              <w:rPr>
                <w:rFonts w:cstheme="minorHAnsi"/>
                <w:b/>
                <w:sz w:val="18"/>
                <w:szCs w:val="18"/>
              </w:rPr>
            </w:pPr>
            <w:r w:rsidRPr="00E84E10">
              <w:rPr>
                <w:rFonts w:cstheme="minorHAnsi"/>
                <w:b/>
                <w:sz w:val="18"/>
                <w:szCs w:val="18"/>
              </w:rPr>
              <w:t>Core:</w:t>
            </w:r>
          </w:p>
          <w:p w14:paraId="5DA7C984" w14:textId="77777777" w:rsidR="00464C1C" w:rsidRPr="00E84E10" w:rsidRDefault="00464C1C" w:rsidP="00E84E10">
            <w:pPr>
              <w:pStyle w:val="NoSpacing"/>
              <w:ind w:left="252" w:hanging="252"/>
              <w:rPr>
                <w:rFonts w:cstheme="minorHAnsi"/>
                <w:sz w:val="18"/>
                <w:szCs w:val="18"/>
              </w:rPr>
            </w:pPr>
            <w:r w:rsidRPr="00E84E10">
              <w:rPr>
                <w:rFonts w:cstheme="minorHAnsi"/>
                <w:sz w:val="18"/>
                <w:szCs w:val="18"/>
              </w:rPr>
              <w:t>Ch. 29: Brownson. Future issues in dissemination and implementation research</w:t>
            </w:r>
          </w:p>
          <w:p w14:paraId="08EAB063" w14:textId="77777777" w:rsidR="00464C1C" w:rsidRPr="00E84E10" w:rsidRDefault="00464C1C" w:rsidP="00E84E10">
            <w:pPr>
              <w:pStyle w:val="NoSpacing"/>
              <w:ind w:left="252" w:hanging="252"/>
              <w:rPr>
                <w:rFonts w:cstheme="minorHAnsi"/>
                <w:b/>
                <w:sz w:val="18"/>
                <w:szCs w:val="18"/>
              </w:rPr>
            </w:pPr>
            <w:r w:rsidRPr="00E84E10">
              <w:rPr>
                <w:rFonts w:cstheme="minorHAnsi"/>
                <w:b/>
                <w:sz w:val="18"/>
                <w:szCs w:val="18"/>
              </w:rPr>
              <w:t>Additional:</w:t>
            </w:r>
          </w:p>
          <w:p w14:paraId="281C35B6" w14:textId="77777777" w:rsidR="00464C1C" w:rsidRPr="00E84E10" w:rsidRDefault="00464C1C" w:rsidP="00E84E10">
            <w:pPr>
              <w:pStyle w:val="NoSpacing"/>
              <w:ind w:left="252" w:hanging="252"/>
              <w:rPr>
                <w:rFonts w:cstheme="minorHAnsi"/>
                <w:noProof/>
                <w:sz w:val="18"/>
                <w:szCs w:val="18"/>
              </w:rPr>
            </w:pPr>
            <w:r w:rsidRPr="00E84E10">
              <w:rPr>
                <w:rFonts w:cstheme="minorHAnsi"/>
                <w:noProof/>
                <w:sz w:val="18"/>
                <w:szCs w:val="18"/>
              </w:rPr>
              <w:t>Brownson RC, Colditz GA, Dobbins M, Emmons KM, Kerner JF, Padek M, et al. Concocting that Magic Elixir: Successful Grant Application Writing in Dissemination and Implementation Research. Clin Transl Sci 2015;8(6):710-6</w:t>
            </w:r>
          </w:p>
          <w:p w14:paraId="239F497C" w14:textId="0D30E70A" w:rsidR="00C27937" w:rsidRPr="00E84E10" w:rsidRDefault="00464C1C" w:rsidP="00E84E10">
            <w:pPr>
              <w:pStyle w:val="NoSpacing"/>
              <w:ind w:left="252" w:hanging="252"/>
              <w:rPr>
                <w:rFonts w:cstheme="minorHAnsi"/>
                <w:sz w:val="18"/>
                <w:szCs w:val="18"/>
              </w:rPr>
            </w:pPr>
            <w:r w:rsidRPr="00E84E10">
              <w:rPr>
                <w:rFonts w:cstheme="minorHAnsi"/>
                <w:sz w:val="18"/>
                <w:szCs w:val="18"/>
              </w:rPr>
              <w:t xml:space="preserve">Proctor EK, Powell BJ, Baumann AA, Hamilton AM, </w:t>
            </w:r>
            <w:proofErr w:type="spellStart"/>
            <w:r w:rsidRPr="00E84E10">
              <w:rPr>
                <w:rFonts w:cstheme="minorHAnsi"/>
                <w:sz w:val="18"/>
                <w:szCs w:val="18"/>
              </w:rPr>
              <w:t>Santens</w:t>
            </w:r>
            <w:proofErr w:type="spellEnd"/>
            <w:r w:rsidRPr="00E84E10">
              <w:rPr>
                <w:rFonts w:cstheme="minorHAnsi"/>
                <w:sz w:val="18"/>
                <w:szCs w:val="18"/>
              </w:rPr>
              <w:t xml:space="preserve"> RL. Writing implementation research grant proposals: ten key ingredients. </w:t>
            </w:r>
            <w:r w:rsidRPr="00E84E10">
              <w:rPr>
                <w:rFonts w:cstheme="minorHAnsi"/>
                <w:i/>
                <w:sz w:val="18"/>
                <w:szCs w:val="18"/>
              </w:rPr>
              <w:t xml:space="preserve">Implement Sci. </w:t>
            </w:r>
            <w:r w:rsidRPr="00E84E10">
              <w:rPr>
                <w:rFonts w:cstheme="minorHAnsi"/>
                <w:sz w:val="18"/>
                <w:szCs w:val="18"/>
              </w:rPr>
              <w:t>2012</w:t>
            </w:r>
            <w:proofErr w:type="gramStart"/>
            <w:r w:rsidRPr="00E84E10">
              <w:rPr>
                <w:rFonts w:cstheme="minorHAnsi"/>
                <w:sz w:val="18"/>
                <w:szCs w:val="18"/>
              </w:rPr>
              <w:t>;7:96</w:t>
            </w:r>
            <w:proofErr w:type="gramEnd"/>
            <w:r w:rsidRPr="00E84E10">
              <w:rPr>
                <w:rFonts w:cstheme="minorHAnsi"/>
                <w:sz w:val="18"/>
                <w:szCs w:val="18"/>
              </w:rPr>
              <w:t>.</w:t>
            </w:r>
          </w:p>
        </w:tc>
      </w:tr>
    </w:tbl>
    <w:p w14:paraId="5A32BC3D" w14:textId="77777777" w:rsidR="001D56DB" w:rsidRDefault="001D56DB" w:rsidP="001D56DB">
      <w:pPr>
        <w:keepNext/>
        <w:tabs>
          <w:tab w:val="left" w:pos="360"/>
        </w:tabs>
        <w:autoSpaceDE w:val="0"/>
        <w:autoSpaceDN w:val="0"/>
        <w:adjustRightInd w:val="0"/>
        <w:spacing w:after="0" w:line="240" w:lineRule="auto"/>
        <w:rPr>
          <w:rFonts w:cs="Tahoma"/>
          <w:color w:val="000000"/>
        </w:rPr>
      </w:pPr>
    </w:p>
    <w:p w14:paraId="7E7590E8" w14:textId="676C64D2" w:rsidR="00464C6B" w:rsidRPr="00464C6B" w:rsidRDefault="001D56DB" w:rsidP="001D56DB">
      <w:pPr>
        <w:keepNext/>
        <w:tabs>
          <w:tab w:val="left" w:pos="360"/>
        </w:tabs>
        <w:autoSpaceDE w:val="0"/>
        <w:autoSpaceDN w:val="0"/>
        <w:adjustRightInd w:val="0"/>
        <w:spacing w:after="0" w:line="240" w:lineRule="auto"/>
        <w:rPr>
          <w:b/>
          <w:u w:val="single"/>
        </w:rPr>
      </w:pPr>
      <w:r>
        <w:rPr>
          <w:rFonts w:cs="Tahoma"/>
          <w:color w:val="000000"/>
        </w:rPr>
        <w:tab/>
      </w:r>
      <w:r w:rsidR="00464C6B" w:rsidRPr="00464C6B">
        <w:rPr>
          <w:b/>
          <w:u w:val="single"/>
        </w:rPr>
        <w:t>DROP DATES</w:t>
      </w:r>
    </w:p>
    <w:p w14:paraId="11C04180" w14:textId="295D5EEE" w:rsidR="000C214B" w:rsidRDefault="004F68DA" w:rsidP="00691C37">
      <w:pPr>
        <w:keepNext/>
        <w:tabs>
          <w:tab w:val="left" w:pos="360"/>
        </w:tabs>
        <w:autoSpaceDE w:val="0"/>
        <w:autoSpaceDN w:val="0"/>
        <w:adjustRightInd w:val="0"/>
        <w:spacing w:after="0" w:line="240" w:lineRule="auto"/>
        <w:ind w:left="360"/>
      </w:pPr>
      <w:r w:rsidRPr="00464C6B">
        <w:t xml:space="preserve">You may drop for any reason during the course of the semester. However, you may only receive a partial or no tuition reimbursement depending upon how far into the semester you drop the course. See the </w:t>
      </w:r>
      <w:hyperlink r:id="rId9" w:history="1">
        <w:r w:rsidR="001D56DB" w:rsidRPr="00A920F7">
          <w:rPr>
            <w:rStyle w:val="Hyperlink"/>
          </w:rPr>
          <w:t>MPHS Student Handbook</w:t>
        </w:r>
      </w:hyperlink>
      <w:r w:rsidRPr="00464C6B">
        <w:t xml:space="preserve">. Late withdrawals will appear on your transcript as a withdrawal. </w:t>
      </w:r>
    </w:p>
    <w:p w14:paraId="31F3DA4B" w14:textId="77777777" w:rsidR="00B15EB8" w:rsidRDefault="00B15EB8" w:rsidP="00691C37">
      <w:pPr>
        <w:keepNext/>
        <w:tabs>
          <w:tab w:val="left" w:pos="360"/>
        </w:tabs>
        <w:autoSpaceDE w:val="0"/>
        <w:autoSpaceDN w:val="0"/>
        <w:adjustRightInd w:val="0"/>
        <w:spacing w:after="0" w:line="240" w:lineRule="auto"/>
        <w:ind w:left="360"/>
      </w:pPr>
    </w:p>
    <w:p w14:paraId="478547D6" w14:textId="77777777" w:rsidR="00B15EB8" w:rsidRDefault="00B15EB8" w:rsidP="00B15EB8">
      <w:pPr>
        <w:ind w:left="360"/>
        <w:rPr>
          <w:rStyle w:val="Heading2Char"/>
        </w:rPr>
      </w:pPr>
      <w:r>
        <w:rPr>
          <w:rStyle w:val="Heading2Char"/>
        </w:rPr>
        <w:t>MPHS Academic Policy Guidelines:</w:t>
      </w:r>
    </w:p>
    <w:p w14:paraId="5F21C976" w14:textId="4224B129" w:rsidR="00B15EB8" w:rsidRPr="00E847E2" w:rsidRDefault="00B15EB8" w:rsidP="00B15EB8">
      <w:pPr>
        <w:ind w:left="360"/>
        <w:rPr>
          <w:rStyle w:val="Heading2Char"/>
          <w:b w:val="0"/>
          <w:bCs w:val="0"/>
        </w:rPr>
      </w:pPr>
      <w:r w:rsidRPr="00E847E2">
        <w:rPr>
          <w:rStyle w:val="Heading2Char"/>
          <w:b w:val="0"/>
        </w:rPr>
        <w:t>Guidelines regarding MPHS course registration and enrollment, grades, tuition obligation, and academic leave are consolidated in the</w:t>
      </w:r>
      <w:r w:rsidRPr="00E847E2">
        <w:rPr>
          <w:rStyle w:val="Hyperlink"/>
          <w:b/>
          <w:u w:val="none"/>
        </w:rPr>
        <w:t xml:space="preserve"> </w:t>
      </w:r>
      <w:hyperlink r:id="rId10" w:history="1">
        <w:r w:rsidRPr="00E847E2">
          <w:rPr>
            <w:rStyle w:val="Hyperlink"/>
            <w:b/>
          </w:rPr>
          <w:t>MPHS Student Handbook</w:t>
        </w:r>
      </w:hyperlink>
      <w:r w:rsidRPr="00E847E2">
        <w:rPr>
          <w:rStyle w:val="Heading2Char"/>
          <w:b w:val="0"/>
        </w:rPr>
        <w:t xml:space="preserve">. Please review this document. </w:t>
      </w:r>
    </w:p>
    <w:p w14:paraId="2E3AA336" w14:textId="77777777" w:rsidR="00B15EB8" w:rsidRDefault="00B15EB8" w:rsidP="00B15EB8">
      <w:pPr>
        <w:ind w:left="360"/>
        <w:rPr>
          <w:rStyle w:val="Heading2Char"/>
          <w:b w:val="0"/>
          <w:bCs w:val="0"/>
        </w:rPr>
      </w:pPr>
    </w:p>
    <w:p w14:paraId="32344B45" w14:textId="77777777" w:rsidR="006B4DD2" w:rsidRDefault="006B4DD2" w:rsidP="00B15EB8">
      <w:pPr>
        <w:ind w:left="360"/>
        <w:rPr>
          <w:rStyle w:val="Heading2Char"/>
          <w:b w:val="0"/>
          <w:bCs w:val="0"/>
        </w:rPr>
      </w:pPr>
    </w:p>
    <w:p w14:paraId="1B38686A" w14:textId="77777777" w:rsidR="006B4DD2" w:rsidRDefault="006B4DD2" w:rsidP="00B15EB8">
      <w:pPr>
        <w:ind w:left="360"/>
        <w:rPr>
          <w:rStyle w:val="Heading2Char"/>
          <w:b w:val="0"/>
          <w:bCs w:val="0"/>
        </w:rPr>
      </w:pPr>
    </w:p>
    <w:p w14:paraId="1A942550" w14:textId="77777777" w:rsidR="00B15EB8" w:rsidRDefault="00B15EB8" w:rsidP="00B15EB8">
      <w:pPr>
        <w:ind w:left="360"/>
        <w:rPr>
          <w:rStyle w:val="Heading2Char"/>
        </w:rPr>
      </w:pPr>
      <w:r>
        <w:rPr>
          <w:rStyle w:val="Heading2Char"/>
        </w:rPr>
        <w:t>MPHS Guidelines for Academic and Non-Academic Transgressions:</w:t>
      </w:r>
    </w:p>
    <w:p w14:paraId="76C45254" w14:textId="28B01F51" w:rsidR="00B15EB8" w:rsidRPr="00E847E2" w:rsidRDefault="00B15EB8" w:rsidP="00B15EB8">
      <w:pPr>
        <w:ind w:left="360"/>
        <w:rPr>
          <w:rFonts w:ascii="Calibri" w:eastAsia="Calibri" w:hAnsi="Calibri" w:cs="Tahoma"/>
          <w:b/>
        </w:rPr>
      </w:pPr>
      <w:r w:rsidRPr="00E847E2">
        <w:rPr>
          <w:rStyle w:val="Heading2Char"/>
          <w:b w:val="0"/>
        </w:rPr>
        <w:t xml:space="preserve">By registering for this course you have agreed to the terms of the </w:t>
      </w:r>
      <w:r w:rsidRPr="00E847E2">
        <w:rPr>
          <w:rStyle w:val="Hyperlink"/>
          <w:b/>
          <w:bCs/>
          <w:color w:val="auto"/>
          <w:u w:val="none"/>
        </w:rPr>
        <w:t xml:space="preserve">MPHS Academic Integrity Policy, outlined below and in more detail in the </w:t>
      </w:r>
      <w:r w:rsidRPr="00E847E2">
        <w:rPr>
          <w:rStyle w:val="Hyperlink"/>
          <w:b/>
        </w:rPr>
        <w:t>MPHS Student Handbook</w:t>
      </w:r>
      <w:r w:rsidRPr="00E847E2">
        <w:rPr>
          <w:rStyle w:val="Heading2Char"/>
          <w:b w:val="0"/>
          <w:bCs w:val="0"/>
        </w:rPr>
        <w:t>.</w:t>
      </w:r>
      <w:r w:rsidRPr="00E847E2">
        <w:rPr>
          <w:rStyle w:val="Heading2Char"/>
          <w:b w:val="0"/>
        </w:rPr>
        <w:t xml:space="preserve"> Please review this policy before submitting your first graded assignment.</w:t>
      </w:r>
    </w:p>
    <w:p w14:paraId="6497455E" w14:textId="77777777" w:rsidR="00B15EB8" w:rsidRDefault="00B15EB8" w:rsidP="00B15EB8">
      <w:pPr>
        <w:pStyle w:val="Heading2"/>
        <w:ind w:left="360"/>
        <w:rPr>
          <w:rFonts w:eastAsia="Times New Roman"/>
        </w:rPr>
      </w:pPr>
      <w:r>
        <w:rPr>
          <w:rFonts w:eastAsia="Times New Roman"/>
        </w:rPr>
        <w:t>Academic Integrity/Plagiarism Policy:</w:t>
      </w:r>
    </w:p>
    <w:p w14:paraId="1A4D13DF" w14:textId="77777777" w:rsidR="00B15EB8" w:rsidRDefault="00B15EB8" w:rsidP="00B15EB8">
      <w:pPr>
        <w:pStyle w:val="ListParagraph"/>
        <w:numPr>
          <w:ilvl w:val="0"/>
          <w:numId w:val="24"/>
        </w:numPr>
        <w:autoSpaceDE w:val="0"/>
        <w:autoSpaceDN w:val="0"/>
        <w:spacing w:after="0" w:line="240" w:lineRule="auto"/>
        <w:ind w:left="720"/>
        <w:contextualSpacing w:val="0"/>
        <w:rPr>
          <w:color w:val="000000"/>
        </w:rPr>
      </w:pPr>
      <w:r>
        <w:rPr>
          <w:color w:val="000000"/>
        </w:rPr>
        <w:t xml:space="preserve">Academic dishonesty is a serious offense that may lead to probation, suspension, or </w:t>
      </w:r>
      <w:r>
        <w:t>dismissal from the University</w:t>
      </w:r>
      <w:r>
        <w:rPr>
          <w:color w:val="000000"/>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11" w:history="1">
        <w:proofErr w:type="spellStart"/>
        <w:r>
          <w:rPr>
            <w:rStyle w:val="Hyperlink"/>
          </w:rPr>
          <w:t>WashU’s</w:t>
        </w:r>
        <w:proofErr w:type="spellEnd"/>
        <w:r>
          <w:rPr>
            <w:rStyle w:val="Hyperlink"/>
          </w:rPr>
          <w:t xml:space="preserve"> academic integrity resources</w:t>
        </w:r>
      </w:hyperlink>
      <w:r>
        <w:rPr>
          <w:color w:val="000000"/>
        </w:rPr>
        <w:t xml:space="preserve"> to become aware of all the actions that constitute academic dishonesty.</w:t>
      </w:r>
    </w:p>
    <w:p w14:paraId="730A2DF5" w14:textId="728861A0" w:rsidR="00B15EB8" w:rsidRPr="00B15EB8" w:rsidRDefault="00B15EB8" w:rsidP="00B15EB8">
      <w:pPr>
        <w:pStyle w:val="ListParagraph"/>
        <w:numPr>
          <w:ilvl w:val="0"/>
          <w:numId w:val="24"/>
        </w:numPr>
        <w:autoSpaceDE w:val="0"/>
        <w:autoSpaceDN w:val="0"/>
        <w:spacing w:after="0" w:line="240" w:lineRule="auto"/>
        <w:ind w:left="720"/>
        <w:contextualSpacing w:val="0"/>
        <w:rPr>
          <w:color w:val="000000"/>
        </w:rPr>
      </w:pPr>
      <w:r>
        <w:rPr>
          <w:color w:val="000000"/>
        </w:rPr>
        <w:t xml:space="preserve">All instances of academic dishonesty will be reported to the Office of the Registrar for investigation and potential disciplinary action. In addition, the instructor will make an independent decision about the student’s grade on any assignment in question. The MPHS process regarding academic dishonesty is described in the </w:t>
      </w:r>
      <w:hyperlink r:id="rId12" w:history="1">
        <w:r w:rsidRPr="00A920F7">
          <w:rPr>
            <w:rStyle w:val="Hyperlink"/>
          </w:rPr>
          <w:t>MPHS Student Handbook</w:t>
        </w:r>
      </w:hyperlink>
    </w:p>
    <w:p w14:paraId="111A031D" w14:textId="77777777" w:rsidR="000C214B" w:rsidRDefault="000C214B" w:rsidP="00691C37">
      <w:pPr>
        <w:keepNext/>
        <w:tabs>
          <w:tab w:val="left" w:pos="360"/>
        </w:tabs>
        <w:autoSpaceDE w:val="0"/>
        <w:autoSpaceDN w:val="0"/>
        <w:adjustRightInd w:val="0"/>
        <w:spacing w:after="0" w:line="240" w:lineRule="auto"/>
        <w:ind w:left="360"/>
      </w:pPr>
    </w:p>
    <w:p w14:paraId="02DC7B42" w14:textId="2774170F" w:rsidR="004F68DA" w:rsidRPr="00464C6B" w:rsidRDefault="00464C6B" w:rsidP="00691C37">
      <w:pPr>
        <w:keepNext/>
        <w:tabs>
          <w:tab w:val="left" w:pos="360"/>
        </w:tabs>
        <w:autoSpaceDE w:val="0"/>
        <w:autoSpaceDN w:val="0"/>
        <w:adjustRightInd w:val="0"/>
        <w:spacing w:after="0" w:line="240" w:lineRule="auto"/>
        <w:ind w:firstLine="360"/>
        <w:rPr>
          <w:b/>
          <w:u w:val="single"/>
        </w:rPr>
      </w:pPr>
      <w:r w:rsidRPr="00464C6B">
        <w:rPr>
          <w:b/>
          <w:u w:val="single"/>
        </w:rPr>
        <w:t>DISABILITY RESOURCES</w:t>
      </w:r>
    </w:p>
    <w:p w14:paraId="5F714062" w14:textId="77777777" w:rsidR="004F68DA" w:rsidRPr="00464C6B" w:rsidRDefault="004F68DA" w:rsidP="00691C37">
      <w:pPr>
        <w:pStyle w:val="NormalWeb"/>
        <w:tabs>
          <w:tab w:val="left" w:pos="360"/>
        </w:tabs>
        <w:spacing w:before="0" w:beforeAutospacing="0" w:after="0" w:afterAutospacing="0"/>
        <w:textAlignment w:val="baseline"/>
        <w:rPr>
          <w:rFonts w:asciiTheme="minorHAnsi" w:hAnsiTheme="minorHAnsi" w:cstheme="minorHAnsi"/>
          <w:sz w:val="22"/>
          <w:szCs w:val="22"/>
        </w:rPr>
      </w:pPr>
      <w:r w:rsidRPr="00464C6B">
        <w:rPr>
          <w:rFonts w:asciiTheme="minorHAnsi" w:hAnsiTheme="minorHAnsi" w:cstheme="minorHAnsi"/>
          <w:sz w:val="22"/>
          <w:szCs w:val="22"/>
        </w:rPr>
        <w:t>It is the goal of Washington University to assist students with disabilities in removing the barriers their disabilities may pose and provide support in facing the challenge of pursuing an education at Washington University.</w:t>
      </w:r>
    </w:p>
    <w:p w14:paraId="16BFCC4B" w14:textId="77777777" w:rsidR="004F68DA" w:rsidRPr="00464C6B" w:rsidRDefault="004F68DA" w:rsidP="00691C37">
      <w:pPr>
        <w:pStyle w:val="NormalWeb"/>
        <w:spacing w:before="0" w:beforeAutospacing="0" w:after="0" w:afterAutospacing="0"/>
        <w:ind w:left="-1152"/>
        <w:textAlignment w:val="baseline"/>
        <w:rPr>
          <w:rFonts w:asciiTheme="minorHAnsi" w:hAnsiTheme="minorHAnsi" w:cstheme="minorHAnsi"/>
          <w:sz w:val="22"/>
          <w:szCs w:val="22"/>
        </w:rPr>
      </w:pPr>
    </w:p>
    <w:p w14:paraId="570D17CF" w14:textId="77777777" w:rsidR="004F68DA" w:rsidRPr="00464C6B" w:rsidRDefault="004F68DA" w:rsidP="00464C6B">
      <w:pPr>
        <w:pStyle w:val="NormalWeb"/>
        <w:spacing w:before="0" w:beforeAutospacing="0" w:after="0" w:afterAutospacing="0"/>
        <w:textAlignment w:val="baseline"/>
        <w:rPr>
          <w:rFonts w:asciiTheme="minorHAnsi" w:hAnsiTheme="minorHAnsi" w:cstheme="minorHAnsi"/>
          <w:sz w:val="22"/>
          <w:szCs w:val="22"/>
        </w:rPr>
      </w:pPr>
      <w:r w:rsidRPr="00464C6B">
        <w:rPr>
          <w:rFonts w:asciiTheme="minorHAnsi" w:hAnsiTheme="minorHAnsi" w:cstheme="minorHAnsi"/>
          <w:sz w:val="22"/>
          <w:szCs w:val="22"/>
        </w:rPr>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51131D6C" w14:textId="77777777" w:rsidR="002144EE" w:rsidRDefault="002144EE" w:rsidP="00464C6B">
      <w:pPr>
        <w:pStyle w:val="NormalWeb"/>
        <w:spacing w:before="0" w:beforeAutospacing="0" w:after="0" w:afterAutospacing="0"/>
        <w:textAlignment w:val="baseline"/>
        <w:rPr>
          <w:rFonts w:asciiTheme="minorHAnsi" w:hAnsiTheme="minorHAnsi" w:cstheme="minorHAnsi"/>
          <w:sz w:val="22"/>
          <w:szCs w:val="22"/>
        </w:rPr>
      </w:pPr>
    </w:p>
    <w:p w14:paraId="2D3456F3" w14:textId="77777777" w:rsidR="004F68DA" w:rsidRPr="00464C6B" w:rsidRDefault="004F68DA" w:rsidP="00464C6B">
      <w:pPr>
        <w:pStyle w:val="NormalWeb"/>
        <w:spacing w:before="0" w:beforeAutospacing="0" w:after="0" w:afterAutospacing="0"/>
        <w:textAlignment w:val="baseline"/>
        <w:rPr>
          <w:rFonts w:asciiTheme="minorHAnsi" w:hAnsiTheme="minorHAnsi" w:cstheme="minorHAnsi"/>
          <w:sz w:val="22"/>
          <w:szCs w:val="22"/>
        </w:rPr>
      </w:pPr>
      <w:r w:rsidRPr="00464C6B">
        <w:rPr>
          <w:rFonts w:asciiTheme="minorHAnsi" w:hAnsiTheme="minorHAnsi" w:cstheme="minorHAnsi"/>
          <w:sz w:val="22"/>
          <w:szCs w:val="22"/>
        </w:rPr>
        <w:t xml:space="preserve">Washington University makes every effort to insure that all qualified applicants and students can participate in and take full advantage of all programs and opportunities offered within the university. Washington University encourages and gives full consideration to all applicants for admission. Washington </w:t>
      </w:r>
      <w:r w:rsidRPr="00464C6B">
        <w:rPr>
          <w:rFonts w:asciiTheme="minorHAnsi" w:hAnsiTheme="minorHAnsi" w:cstheme="minorHAnsi"/>
          <w:sz w:val="22"/>
          <w:szCs w:val="22"/>
        </w:rPr>
        <w:lastRenderedPageBreak/>
        <w:t>University does not discriminate in access to its programs and activities on the basis of age, sex, sexual orientation, race, disability, religion, color or national origin.</w:t>
      </w:r>
    </w:p>
    <w:p w14:paraId="4BF86139" w14:textId="77777777" w:rsidR="004F68DA" w:rsidRPr="00464C6B" w:rsidRDefault="004F68DA" w:rsidP="00464C6B">
      <w:pPr>
        <w:pStyle w:val="NormalWeb"/>
        <w:spacing w:before="0" w:beforeAutospacing="0" w:after="0" w:afterAutospacing="0"/>
        <w:textAlignment w:val="baseline"/>
        <w:rPr>
          <w:rFonts w:asciiTheme="minorHAnsi" w:hAnsiTheme="minorHAnsi" w:cstheme="minorHAnsi"/>
          <w:sz w:val="22"/>
          <w:szCs w:val="22"/>
        </w:rPr>
      </w:pPr>
    </w:p>
    <w:p w14:paraId="0BEC1E05" w14:textId="77777777" w:rsidR="002144EE" w:rsidRDefault="004F68DA" w:rsidP="00464C6B">
      <w:pPr>
        <w:pStyle w:val="Default"/>
        <w:ind w:left="432"/>
        <w:rPr>
          <w:rFonts w:asciiTheme="minorHAnsi" w:hAnsiTheme="minorHAnsi" w:cstheme="minorHAnsi"/>
          <w:color w:val="auto"/>
          <w:sz w:val="22"/>
          <w:szCs w:val="22"/>
        </w:rPr>
      </w:pPr>
      <w:r w:rsidRPr="00464C6B">
        <w:rPr>
          <w:rFonts w:asciiTheme="minorHAnsi" w:hAnsiTheme="minorHAnsi" w:cstheme="minorHAnsi"/>
          <w:color w:val="auto"/>
          <w:sz w:val="22"/>
          <w:szCs w:val="22"/>
        </w:rPr>
        <w:t xml:space="preserve">To learn more about services provided to students with disabilities, initiate the process of formal </w:t>
      </w:r>
    </w:p>
    <w:p w14:paraId="03A5466E" w14:textId="01D90093" w:rsidR="004F68DA" w:rsidRPr="002144EE" w:rsidRDefault="004F68DA" w:rsidP="002144EE">
      <w:pPr>
        <w:pStyle w:val="Default"/>
        <w:ind w:left="432"/>
        <w:rPr>
          <w:rFonts w:asciiTheme="minorHAnsi" w:hAnsiTheme="minorHAnsi" w:cstheme="minorHAnsi"/>
          <w:color w:val="auto"/>
          <w:sz w:val="22"/>
          <w:szCs w:val="22"/>
        </w:rPr>
      </w:pPr>
      <w:proofErr w:type="gramStart"/>
      <w:r w:rsidRPr="00464C6B">
        <w:rPr>
          <w:rFonts w:asciiTheme="minorHAnsi" w:hAnsiTheme="minorHAnsi" w:cstheme="minorHAnsi"/>
          <w:color w:val="auto"/>
          <w:sz w:val="22"/>
          <w:szCs w:val="22"/>
        </w:rPr>
        <w:t>documentation</w:t>
      </w:r>
      <w:proofErr w:type="gramEnd"/>
      <w:r w:rsidRPr="00464C6B">
        <w:rPr>
          <w:rFonts w:asciiTheme="minorHAnsi" w:hAnsiTheme="minorHAnsi" w:cstheme="minorHAnsi"/>
          <w:color w:val="auto"/>
          <w:sz w:val="22"/>
          <w:szCs w:val="22"/>
        </w:rPr>
        <w:t xml:space="preserve"> and/or to arrange for accommodations, please review the </w:t>
      </w:r>
      <w:hyperlink r:id="rId13" w:anchor="Disabilities" w:history="1">
        <w:r w:rsidRPr="00005897">
          <w:rPr>
            <w:rStyle w:val="Hyperlink"/>
            <w:rFonts w:asciiTheme="minorHAnsi" w:hAnsiTheme="minorHAnsi" w:cstheme="minorHAnsi"/>
            <w:sz w:val="22"/>
            <w:szCs w:val="22"/>
          </w:rPr>
          <w:t>Disability Resources</w:t>
        </w:r>
      </w:hyperlink>
      <w:r w:rsidRPr="00464C6B">
        <w:rPr>
          <w:rFonts w:asciiTheme="minorHAnsi" w:hAnsiTheme="minorHAnsi" w:cstheme="minorHAnsi"/>
          <w:color w:val="auto"/>
          <w:sz w:val="22"/>
          <w:szCs w:val="22"/>
        </w:rPr>
        <w:t xml:space="preserve"> for the Med School at the start of the course.</w:t>
      </w:r>
    </w:p>
    <w:p w14:paraId="2EC3AD64" w14:textId="77777777" w:rsidR="002144EE" w:rsidRDefault="002144EE" w:rsidP="00464C6B">
      <w:pPr>
        <w:spacing w:after="0" w:line="240" w:lineRule="auto"/>
        <w:ind w:left="360"/>
        <w:rPr>
          <w:b/>
          <w:u w:val="single"/>
        </w:rPr>
      </w:pPr>
    </w:p>
    <w:p w14:paraId="768BAD2B" w14:textId="281DC2DC" w:rsidR="004F68DA" w:rsidRPr="00464C6B" w:rsidRDefault="00464C6B" w:rsidP="00464C6B">
      <w:pPr>
        <w:spacing w:after="0" w:line="240" w:lineRule="auto"/>
        <w:ind w:left="360"/>
        <w:rPr>
          <w:b/>
          <w:u w:val="single"/>
        </w:rPr>
      </w:pPr>
      <w:r w:rsidRPr="00464C6B">
        <w:rPr>
          <w:b/>
          <w:u w:val="single"/>
        </w:rPr>
        <w:t>MENTAL HEALTH RESOURCES</w:t>
      </w:r>
    </w:p>
    <w:p w14:paraId="677F4833" w14:textId="77777777" w:rsidR="004F68DA" w:rsidRPr="00464C6B" w:rsidRDefault="004F68DA" w:rsidP="00464C6B">
      <w:pPr>
        <w:spacing w:after="0" w:line="240" w:lineRule="auto"/>
        <w:ind w:left="360"/>
      </w:pPr>
      <w:r w:rsidRPr="00464C6B">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4" w:history="1">
        <w:r w:rsidRPr="00464C6B">
          <w:rPr>
            <w:rStyle w:val="Hyperlink"/>
          </w:rPr>
          <w:t>shs.wustl.edu/</w:t>
        </w:r>
        <w:proofErr w:type="spellStart"/>
        <w:r w:rsidRPr="00464C6B">
          <w:rPr>
            <w:rStyle w:val="Hyperlink"/>
          </w:rPr>
          <w:t>MentalHealth</w:t>
        </w:r>
        <w:proofErr w:type="spellEnd"/>
      </w:hyperlink>
      <w:r w:rsidRPr="00464C6B">
        <w:t xml:space="preserve">. </w:t>
      </w:r>
    </w:p>
    <w:p w14:paraId="1901B6DA" w14:textId="77777777" w:rsidR="004F68DA" w:rsidRPr="00464C6B" w:rsidRDefault="004F68DA" w:rsidP="00464C6B">
      <w:pPr>
        <w:spacing w:after="0" w:line="240" w:lineRule="auto"/>
        <w:ind w:left="360"/>
      </w:pPr>
    </w:p>
    <w:p w14:paraId="71D0995E" w14:textId="75C2318A" w:rsidR="004F68DA" w:rsidRPr="00464C6B" w:rsidRDefault="004F68DA" w:rsidP="00464C6B">
      <w:pPr>
        <w:spacing w:after="0" w:line="240" w:lineRule="auto"/>
        <w:ind w:left="360"/>
        <w:rPr>
          <w:b/>
          <w:caps/>
          <w:u w:val="single"/>
        </w:rPr>
      </w:pPr>
      <w:r w:rsidRPr="00464C6B">
        <w:rPr>
          <w:b/>
          <w:caps/>
          <w:u w:val="single"/>
        </w:rPr>
        <w:t xml:space="preserve">Sexual </w:t>
      </w:r>
      <w:r w:rsidR="00464C6B" w:rsidRPr="00464C6B">
        <w:rPr>
          <w:b/>
          <w:caps/>
          <w:u w:val="single"/>
        </w:rPr>
        <w:t>Assault Resources</w:t>
      </w:r>
    </w:p>
    <w:p w14:paraId="6A98929F" w14:textId="77777777" w:rsidR="004F68DA" w:rsidRPr="00464C6B" w:rsidRDefault="004F68DA" w:rsidP="00464C6B">
      <w:pPr>
        <w:spacing w:after="0" w:line="240" w:lineRule="auto"/>
        <w:ind w:left="360"/>
      </w:pPr>
      <w:r w:rsidRPr="00464C6B">
        <w:t xml:space="preserve">You can also speak confidentially and learn about available resources by contacting </w:t>
      </w:r>
      <w:hyperlink r:id="rId15" w:history="1">
        <w:r w:rsidRPr="00464C6B">
          <w:rPr>
            <w:rStyle w:val="Hyperlink"/>
          </w:rPr>
          <w:t>Dr. Gladys Smith, PhD</w:t>
        </w:r>
      </w:hyperlink>
      <w:r w:rsidRPr="00464C6B">
        <w:t>, Sexual Violence Prevention Therapist and Licensed Psychologist at the Medical Campus, (314) 362-2404.  Additionally, you can report incidents to the Office of Student Affairs or by contacting WUSM Protective Services 314-362-4357 or your local law enforcement agency.</w:t>
      </w:r>
    </w:p>
    <w:p w14:paraId="7A3DD81E" w14:textId="77777777" w:rsidR="004F68DA" w:rsidRPr="00464C6B" w:rsidRDefault="004F68DA" w:rsidP="00464C6B">
      <w:pPr>
        <w:spacing w:after="0" w:line="240" w:lineRule="auto"/>
        <w:ind w:left="360"/>
      </w:pPr>
    </w:p>
    <w:p w14:paraId="3198E87E" w14:textId="2F8D063F" w:rsidR="004F68DA" w:rsidRPr="00464C6B" w:rsidRDefault="004F68DA" w:rsidP="007E4D4D">
      <w:pPr>
        <w:spacing w:after="0" w:line="240" w:lineRule="auto"/>
        <w:ind w:left="360"/>
      </w:pPr>
      <w:r w:rsidRPr="00464C6B">
        <w:rPr>
          <w:b/>
          <w:bCs/>
          <w:caps/>
          <w:u w:val="single"/>
        </w:rPr>
        <w:t>Bias Resources</w:t>
      </w:r>
      <w:r w:rsidRPr="00464C6B">
        <w:rPr>
          <w:b/>
        </w:rPr>
        <w:br/>
      </w:r>
      <w:r w:rsidRPr="00464C6B">
        <w:t>The University has a process through which students and staff who have experienced or witnessed bias, prejudice or discrimination against a student can report their experiences to the University’s Bias Report and Support System (BRSS) team.  For details see: </w:t>
      </w:r>
      <w:hyperlink r:id="rId16" w:history="1">
        <w:r w:rsidRPr="00464C6B">
          <w:rPr>
            <w:rStyle w:val="Hyperlink"/>
          </w:rPr>
          <w:t>diversityinclusion.wustl.edu/</w:t>
        </w:r>
        <w:proofErr w:type="spellStart"/>
        <w:r w:rsidRPr="00464C6B">
          <w:rPr>
            <w:rStyle w:val="Hyperlink"/>
          </w:rPr>
          <w:t>brss</w:t>
        </w:r>
        <w:proofErr w:type="spellEnd"/>
        <w:r w:rsidRPr="00464C6B">
          <w:rPr>
            <w:rStyle w:val="Hyperlink"/>
          </w:rPr>
          <w:t>/</w:t>
        </w:r>
      </w:hyperlink>
      <w:r w:rsidRPr="00464C6B">
        <w:t>.</w:t>
      </w:r>
    </w:p>
    <w:p w14:paraId="521BEB56" w14:textId="77777777" w:rsidR="004F68DA" w:rsidRPr="00464C6B" w:rsidRDefault="004F68DA" w:rsidP="00464C6B">
      <w:pPr>
        <w:spacing w:after="0" w:line="240" w:lineRule="auto"/>
        <w:ind w:left="360"/>
      </w:pPr>
    </w:p>
    <w:p w14:paraId="1420199D" w14:textId="77777777" w:rsidR="004F68DA" w:rsidRPr="00464C6B" w:rsidRDefault="004F68DA" w:rsidP="00464C6B">
      <w:pPr>
        <w:pStyle w:val="NormalWeb"/>
        <w:spacing w:before="0" w:beforeAutospacing="0" w:after="0" w:afterAutospacing="0"/>
        <w:ind w:left="360"/>
        <w:rPr>
          <w:rFonts w:asciiTheme="minorHAnsi" w:hAnsiTheme="minorHAnsi" w:cstheme="minorHAnsi"/>
          <w:sz w:val="22"/>
          <w:szCs w:val="22"/>
        </w:rPr>
      </w:pPr>
      <w:r w:rsidRPr="00464C6B">
        <w:rPr>
          <w:rFonts w:asciiTheme="minorHAnsi" w:hAnsiTheme="minorHAnsi" w:cstheme="minorHAnsi"/>
          <w:b/>
          <w:bCs/>
          <w:sz w:val="22"/>
          <w:szCs w:val="22"/>
        </w:rPr>
        <w:t>Office of the Associate Vice Chancellor for Diversity, Equity and Inclusion (DEI)</w:t>
      </w:r>
    </w:p>
    <w:p w14:paraId="2E834792" w14:textId="51233659" w:rsidR="004F68DA" w:rsidRPr="00464C6B" w:rsidRDefault="004F68DA" w:rsidP="00464C6B">
      <w:pPr>
        <w:pStyle w:val="NormalWeb"/>
        <w:spacing w:before="0" w:beforeAutospacing="0" w:after="0" w:afterAutospacing="0"/>
        <w:ind w:left="360"/>
        <w:rPr>
          <w:rStyle w:val="Hyperlink"/>
          <w:rFonts w:asciiTheme="minorHAnsi" w:hAnsiTheme="minorHAnsi" w:cstheme="minorHAnsi"/>
          <w:color w:val="auto"/>
          <w:sz w:val="22"/>
          <w:szCs w:val="22"/>
        </w:rPr>
      </w:pPr>
      <w:r w:rsidRPr="00464C6B">
        <w:rPr>
          <w:rFonts w:asciiTheme="minorHAnsi" w:hAnsiTheme="minorHAnsi" w:cstheme="minorHAnsi"/>
          <w:b/>
          <w:bCs/>
          <w:sz w:val="22"/>
          <w:szCs w:val="22"/>
        </w:rPr>
        <w:t>The DEI Training Team</w:t>
      </w:r>
      <w:r w:rsidRPr="00464C6B">
        <w:rPr>
          <w:rStyle w:val="apple-converted-space"/>
          <w:rFonts w:asciiTheme="minorHAnsi" w:hAnsiTheme="minorHAnsi" w:cstheme="minorHAnsi"/>
          <w:b/>
          <w:bCs/>
          <w:sz w:val="22"/>
          <w:szCs w:val="22"/>
        </w:rPr>
        <w:t> </w:t>
      </w:r>
      <w:r w:rsidRPr="00464C6B">
        <w:rPr>
          <w:rFonts w:asciiTheme="minorHAnsi" w:hAnsiTheme="minorHAnsi" w:cstheme="minorHAnsi"/>
          <w:sz w:val="22"/>
          <w:szCs w:val="22"/>
        </w:rPr>
        <w:t>designs, facilitates and leads diversity education programming for faculty, staff and students on a wide range of topics including: creating a climate of respect, the value of diversity and the role of biases in our day-to-day lives.</w:t>
      </w:r>
      <w:r w:rsidRPr="00464C6B">
        <w:rPr>
          <w:rFonts w:asciiTheme="minorHAnsi" w:hAnsiTheme="minorHAnsi" w:cstheme="minorHAnsi"/>
          <w:sz w:val="22"/>
          <w:szCs w:val="22"/>
        </w:rPr>
        <w:br/>
      </w:r>
      <w:hyperlink r:id="rId17" w:tgtFrame="_blank" w:history="1">
        <w:r w:rsidRPr="00464C6B">
          <w:rPr>
            <w:rStyle w:val="Hyperlink"/>
            <w:rFonts w:asciiTheme="minorHAnsi" w:hAnsiTheme="minorHAnsi" w:cstheme="minorHAnsi"/>
            <w:color w:val="auto"/>
            <w:sz w:val="22"/>
            <w:szCs w:val="22"/>
          </w:rPr>
          <w:t>diversity.med.wustl.edu/training/</w:t>
        </w:r>
      </w:hyperlink>
    </w:p>
    <w:p w14:paraId="7D5D73F8" w14:textId="77777777" w:rsidR="004F68DA" w:rsidRPr="00464C6B" w:rsidRDefault="004F68DA" w:rsidP="00464C6B">
      <w:pPr>
        <w:pStyle w:val="NormalWeb"/>
        <w:spacing w:before="0" w:beforeAutospacing="0" w:after="0" w:afterAutospacing="0"/>
        <w:ind w:left="360"/>
        <w:rPr>
          <w:rFonts w:asciiTheme="minorHAnsi" w:hAnsiTheme="minorHAnsi" w:cstheme="minorHAnsi"/>
          <w:sz w:val="22"/>
          <w:szCs w:val="22"/>
        </w:rPr>
      </w:pPr>
    </w:p>
    <w:p w14:paraId="0536D953" w14:textId="0E930DD6" w:rsidR="004F68DA" w:rsidRPr="00464C6B" w:rsidRDefault="004F68DA" w:rsidP="00464C6B">
      <w:pPr>
        <w:pStyle w:val="NormalWeb"/>
        <w:spacing w:before="0" w:beforeAutospacing="0" w:after="0" w:afterAutospacing="0"/>
        <w:ind w:left="360"/>
        <w:rPr>
          <w:rStyle w:val="Hyperlink"/>
          <w:rFonts w:asciiTheme="minorHAnsi" w:hAnsiTheme="minorHAnsi" w:cstheme="minorHAnsi"/>
          <w:color w:val="auto"/>
          <w:sz w:val="22"/>
          <w:szCs w:val="22"/>
        </w:rPr>
      </w:pPr>
      <w:r w:rsidRPr="00464C6B">
        <w:rPr>
          <w:rFonts w:asciiTheme="minorHAnsi" w:hAnsiTheme="minorHAnsi" w:cstheme="minorHAnsi"/>
          <w:b/>
          <w:bCs/>
          <w:sz w:val="22"/>
          <w:szCs w:val="22"/>
        </w:rPr>
        <w:t>The Office of Diversity Programs</w:t>
      </w:r>
      <w:r w:rsidRPr="00464C6B">
        <w:rPr>
          <w:rStyle w:val="apple-converted-space"/>
          <w:rFonts w:asciiTheme="minorHAnsi" w:hAnsiTheme="minorHAnsi" w:cstheme="minorHAnsi"/>
          <w:sz w:val="22"/>
          <w:szCs w:val="22"/>
        </w:rPr>
        <w:t> </w:t>
      </w:r>
      <w:r w:rsidRPr="00464C6B">
        <w:rPr>
          <w:rFonts w:asciiTheme="minorHAnsi" w:hAnsiTheme="minorHAnsi" w:cstheme="minorHAnsi"/>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Pr="00464C6B">
        <w:rPr>
          <w:rFonts w:asciiTheme="minorHAnsi" w:hAnsiTheme="minorHAnsi" w:cstheme="minorHAnsi"/>
          <w:sz w:val="22"/>
          <w:szCs w:val="22"/>
        </w:rPr>
        <w:br/>
      </w:r>
      <w:hyperlink r:id="rId18" w:tgtFrame="_blank" w:history="1">
        <w:r w:rsidRPr="00464C6B">
          <w:rPr>
            <w:rStyle w:val="Hyperlink"/>
            <w:rFonts w:asciiTheme="minorHAnsi" w:hAnsiTheme="minorHAnsi" w:cstheme="minorHAnsi"/>
            <w:color w:val="auto"/>
            <w:sz w:val="22"/>
            <w:szCs w:val="22"/>
          </w:rPr>
          <w:t>mddiversity.wustl.edu/</w:t>
        </w:r>
      </w:hyperlink>
    </w:p>
    <w:p w14:paraId="243BEBBE" w14:textId="77777777" w:rsidR="004F68DA" w:rsidRPr="00464C6B" w:rsidRDefault="004F68DA" w:rsidP="00464C6B">
      <w:pPr>
        <w:pStyle w:val="NormalWeb"/>
        <w:spacing w:before="0" w:beforeAutospacing="0" w:after="0" w:afterAutospacing="0"/>
        <w:ind w:left="360"/>
        <w:rPr>
          <w:rFonts w:asciiTheme="minorHAnsi" w:hAnsiTheme="minorHAnsi" w:cstheme="minorHAnsi"/>
          <w:sz w:val="22"/>
          <w:szCs w:val="22"/>
        </w:rPr>
      </w:pPr>
    </w:p>
    <w:p w14:paraId="1D497B18" w14:textId="655CA8C6" w:rsidR="004F68DA" w:rsidRPr="002144EE" w:rsidRDefault="004F68DA" w:rsidP="002144EE">
      <w:pPr>
        <w:pStyle w:val="NormalWeb"/>
        <w:spacing w:before="0" w:beforeAutospacing="0" w:after="0" w:afterAutospacing="0"/>
        <w:ind w:left="360"/>
        <w:rPr>
          <w:rFonts w:asciiTheme="minorHAnsi" w:hAnsiTheme="minorHAnsi" w:cstheme="minorHAnsi"/>
          <w:sz w:val="22"/>
          <w:szCs w:val="22"/>
          <w:u w:val="single"/>
        </w:rPr>
      </w:pPr>
      <w:r w:rsidRPr="00464C6B">
        <w:rPr>
          <w:rFonts w:asciiTheme="minorHAnsi" w:hAnsiTheme="minorHAnsi" w:cstheme="minorHAnsi"/>
          <w:b/>
          <w:bCs/>
          <w:sz w:val="22"/>
          <w:szCs w:val="22"/>
        </w:rPr>
        <w:t>The Diversity and Inclusion Student Council</w:t>
      </w:r>
      <w:r w:rsidRPr="00464C6B">
        <w:rPr>
          <w:rStyle w:val="apple-converted-space"/>
          <w:rFonts w:asciiTheme="minorHAnsi" w:hAnsiTheme="minorHAnsi" w:cstheme="minorHAnsi"/>
          <w:b/>
          <w:bCs/>
          <w:sz w:val="22"/>
          <w:szCs w:val="22"/>
        </w:rPr>
        <w:t> </w:t>
      </w:r>
      <w:r w:rsidRPr="00464C6B">
        <w:rPr>
          <w:rFonts w:asciiTheme="minorHAnsi" w:hAnsiTheme="minorHAnsi" w:cstheme="minorHAnsi"/>
          <w:sz w:val="22"/>
          <w:szCs w:val="22"/>
        </w:rPr>
        <w:t>promotes an inclusive campus environment for all School of Medicine students.</w:t>
      </w:r>
      <w:r w:rsidRPr="00464C6B">
        <w:rPr>
          <w:rFonts w:asciiTheme="minorHAnsi" w:hAnsiTheme="minorHAnsi" w:cstheme="minorHAnsi"/>
          <w:sz w:val="22"/>
          <w:szCs w:val="22"/>
        </w:rPr>
        <w:br/>
      </w:r>
      <w:hyperlink r:id="rId19" w:tgtFrame="_blank" w:history="1">
        <w:r w:rsidRPr="00464C6B">
          <w:rPr>
            <w:rStyle w:val="Hyperlink"/>
            <w:rFonts w:asciiTheme="minorHAnsi" w:hAnsiTheme="minorHAnsi" w:cstheme="minorHAnsi"/>
            <w:color w:val="auto"/>
            <w:sz w:val="22"/>
            <w:szCs w:val="22"/>
          </w:rPr>
          <w:t>sites.wustl.edu/disc/</w:t>
        </w:r>
      </w:hyperlink>
    </w:p>
    <w:p w14:paraId="6A46ECC7" w14:textId="77777777" w:rsidR="00336716" w:rsidRDefault="00336716" w:rsidP="00464C6B">
      <w:pPr>
        <w:pStyle w:val="NormalWeb"/>
        <w:spacing w:before="0" w:beforeAutospacing="0" w:after="0" w:afterAutospacing="0"/>
        <w:ind w:left="360"/>
        <w:rPr>
          <w:rFonts w:asciiTheme="minorHAnsi" w:hAnsiTheme="minorHAnsi" w:cstheme="minorHAnsi"/>
          <w:b/>
          <w:bCs/>
          <w:sz w:val="22"/>
          <w:szCs w:val="22"/>
        </w:rPr>
      </w:pPr>
    </w:p>
    <w:p w14:paraId="2703FBDF" w14:textId="77777777" w:rsidR="004F68DA" w:rsidRPr="00464C6B" w:rsidRDefault="004F68DA" w:rsidP="00464C6B">
      <w:pPr>
        <w:pStyle w:val="NormalWeb"/>
        <w:spacing w:before="0" w:beforeAutospacing="0" w:after="0" w:afterAutospacing="0"/>
        <w:ind w:left="360"/>
        <w:rPr>
          <w:rFonts w:asciiTheme="minorHAnsi" w:hAnsiTheme="minorHAnsi" w:cstheme="minorHAnsi"/>
          <w:sz w:val="22"/>
          <w:szCs w:val="22"/>
        </w:rPr>
      </w:pPr>
      <w:r w:rsidRPr="00464C6B">
        <w:rPr>
          <w:rFonts w:asciiTheme="minorHAnsi" w:hAnsiTheme="minorHAnsi" w:cstheme="minorHAnsi"/>
          <w:b/>
          <w:bCs/>
          <w:sz w:val="22"/>
          <w:szCs w:val="22"/>
        </w:rPr>
        <w:t>The Office for International Students and Scholars</w:t>
      </w:r>
      <w:r w:rsidRPr="00464C6B">
        <w:rPr>
          <w:rStyle w:val="apple-converted-space"/>
          <w:rFonts w:asciiTheme="minorHAnsi" w:hAnsiTheme="minorHAnsi" w:cstheme="minorHAnsi"/>
          <w:sz w:val="22"/>
          <w:szCs w:val="22"/>
        </w:rPr>
        <w:t> </w:t>
      </w:r>
      <w:r w:rsidRPr="00464C6B">
        <w:rPr>
          <w:rFonts w:asciiTheme="minorHAnsi" w:hAnsiTheme="minorHAnsi" w:cstheme="minorHAnsi"/>
          <w:sz w:val="22"/>
          <w:szCs w:val="22"/>
        </w:rPr>
        <w:t>embraces the university’s mission of welcoming promising students from around the world.</w:t>
      </w:r>
      <w:r w:rsidRPr="00464C6B">
        <w:rPr>
          <w:rFonts w:asciiTheme="minorHAnsi" w:hAnsiTheme="minorHAnsi" w:cstheme="minorHAnsi"/>
          <w:sz w:val="22"/>
          <w:szCs w:val="22"/>
        </w:rPr>
        <w:br/>
      </w:r>
      <w:hyperlink r:id="rId20" w:tgtFrame="_blank" w:history="1">
        <w:r w:rsidRPr="00464C6B">
          <w:rPr>
            <w:rStyle w:val="Hyperlink"/>
            <w:rFonts w:asciiTheme="minorHAnsi" w:hAnsiTheme="minorHAnsi" w:cstheme="minorHAnsi"/>
            <w:color w:val="auto"/>
            <w:sz w:val="22"/>
            <w:szCs w:val="22"/>
          </w:rPr>
          <w:t>wumma.wustl.edu/</w:t>
        </w:r>
      </w:hyperlink>
    </w:p>
    <w:p w14:paraId="7A80A219" w14:textId="77777777" w:rsidR="004F68DA" w:rsidRPr="00464C6B" w:rsidRDefault="004F68DA" w:rsidP="00464C6B">
      <w:pPr>
        <w:spacing w:after="0" w:line="240" w:lineRule="auto"/>
      </w:pPr>
    </w:p>
    <w:sectPr w:rsidR="004F68DA" w:rsidRPr="00464C6B" w:rsidSect="00962A80">
      <w:head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9F84" w14:textId="77777777" w:rsidR="00A46589" w:rsidRDefault="00A46589" w:rsidP="00DA438C">
      <w:pPr>
        <w:spacing w:after="0" w:line="240" w:lineRule="auto"/>
      </w:pPr>
      <w:r>
        <w:separator/>
      </w:r>
    </w:p>
  </w:endnote>
  <w:endnote w:type="continuationSeparator" w:id="0">
    <w:p w14:paraId="77085128" w14:textId="77777777" w:rsidR="00A46589" w:rsidRDefault="00A46589" w:rsidP="00D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DFD3" w14:textId="77777777" w:rsidR="00A46589" w:rsidRDefault="00A46589" w:rsidP="00DA438C">
      <w:pPr>
        <w:spacing w:after="0" w:line="240" w:lineRule="auto"/>
      </w:pPr>
      <w:r>
        <w:separator/>
      </w:r>
    </w:p>
  </w:footnote>
  <w:footnote w:type="continuationSeparator" w:id="0">
    <w:p w14:paraId="4940C107" w14:textId="77777777" w:rsidR="00A46589" w:rsidRDefault="00A46589" w:rsidP="00DA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FAB0" w14:textId="65D8A767" w:rsidR="00DA438C" w:rsidRDefault="00DA438C">
    <w:pPr>
      <w:pStyle w:val="Header"/>
    </w:pPr>
  </w:p>
  <w:p w14:paraId="7430214D" w14:textId="7CA64B04" w:rsidR="00DA438C" w:rsidRPr="00DA438C" w:rsidRDefault="00DA438C">
    <w:pPr>
      <w:pStyle w:val="Header"/>
      <w:rPr>
        <w:b/>
      </w:rPr>
    </w:pPr>
  </w:p>
  <w:p w14:paraId="7782BB32" w14:textId="3EA466FB" w:rsidR="00DA438C" w:rsidRDefault="00DA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2C"/>
    <w:multiLevelType w:val="hybridMultilevel"/>
    <w:tmpl w:val="EB0CE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4A7"/>
    <w:multiLevelType w:val="hybridMultilevel"/>
    <w:tmpl w:val="169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491"/>
    <w:multiLevelType w:val="hybridMultilevel"/>
    <w:tmpl w:val="CE24C032"/>
    <w:lvl w:ilvl="0" w:tplc="8BAA5A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427A"/>
    <w:multiLevelType w:val="hybridMultilevel"/>
    <w:tmpl w:val="017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D0EF5"/>
    <w:multiLevelType w:val="hybridMultilevel"/>
    <w:tmpl w:val="E076C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95242"/>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4813BD"/>
    <w:multiLevelType w:val="hybridMultilevel"/>
    <w:tmpl w:val="CA9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1E4E"/>
    <w:multiLevelType w:val="hybridMultilevel"/>
    <w:tmpl w:val="B50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5FC8"/>
    <w:multiLevelType w:val="hybridMultilevel"/>
    <w:tmpl w:val="233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80144"/>
    <w:multiLevelType w:val="hybridMultilevel"/>
    <w:tmpl w:val="82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C3829"/>
    <w:multiLevelType w:val="hybridMultilevel"/>
    <w:tmpl w:val="57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B455C"/>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36EA7"/>
    <w:multiLevelType w:val="hybridMultilevel"/>
    <w:tmpl w:val="4CC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C1B52"/>
    <w:multiLevelType w:val="hybridMultilevel"/>
    <w:tmpl w:val="C446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D4B61"/>
    <w:multiLevelType w:val="hybridMultilevel"/>
    <w:tmpl w:val="10D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54A50"/>
    <w:multiLevelType w:val="hybridMultilevel"/>
    <w:tmpl w:val="2C5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27D2C"/>
    <w:multiLevelType w:val="hybridMultilevel"/>
    <w:tmpl w:val="E4D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147B0"/>
    <w:multiLevelType w:val="hybridMultilevel"/>
    <w:tmpl w:val="026A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F52F6"/>
    <w:multiLevelType w:val="hybridMultilevel"/>
    <w:tmpl w:val="F96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224F8"/>
    <w:multiLevelType w:val="hybridMultilevel"/>
    <w:tmpl w:val="032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4285F"/>
    <w:multiLevelType w:val="hybridMultilevel"/>
    <w:tmpl w:val="D82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035F3"/>
    <w:multiLevelType w:val="hybridMultilevel"/>
    <w:tmpl w:val="B92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15"/>
  </w:num>
  <w:num w:numId="5">
    <w:abstractNumId w:val="5"/>
  </w:num>
  <w:num w:numId="6">
    <w:abstractNumId w:val="8"/>
  </w:num>
  <w:num w:numId="7">
    <w:abstractNumId w:val="12"/>
  </w:num>
  <w:num w:numId="8">
    <w:abstractNumId w:val="11"/>
  </w:num>
  <w:num w:numId="9">
    <w:abstractNumId w:val="3"/>
  </w:num>
  <w:num w:numId="10">
    <w:abstractNumId w:val="18"/>
  </w:num>
  <w:num w:numId="11">
    <w:abstractNumId w:val="20"/>
  </w:num>
  <w:num w:numId="12">
    <w:abstractNumId w:val="22"/>
  </w:num>
  <w:num w:numId="13">
    <w:abstractNumId w:val="13"/>
  </w:num>
  <w:num w:numId="14">
    <w:abstractNumId w:val="14"/>
  </w:num>
  <w:num w:numId="15">
    <w:abstractNumId w:val="23"/>
  </w:num>
  <w:num w:numId="16">
    <w:abstractNumId w:val="9"/>
  </w:num>
  <w:num w:numId="17">
    <w:abstractNumId w:val="1"/>
  </w:num>
  <w:num w:numId="18">
    <w:abstractNumId w:val="6"/>
  </w:num>
  <w:num w:numId="19">
    <w:abstractNumId w:val="2"/>
  </w:num>
  <w:num w:numId="20">
    <w:abstractNumId w:val="10"/>
  </w:num>
  <w:num w:numId="21">
    <w:abstractNumId w:val="16"/>
  </w:num>
  <w:num w:numId="22">
    <w:abstractNumId w:val="7"/>
  </w:num>
  <w:num w:numId="23">
    <w:abstractNumId w:val="4"/>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F0"/>
    <w:rsid w:val="00005897"/>
    <w:rsid w:val="00026EAA"/>
    <w:rsid w:val="00026EB1"/>
    <w:rsid w:val="0003434A"/>
    <w:rsid w:val="0004438B"/>
    <w:rsid w:val="00056584"/>
    <w:rsid w:val="0008459E"/>
    <w:rsid w:val="00086933"/>
    <w:rsid w:val="000C214B"/>
    <w:rsid w:val="000C39DC"/>
    <w:rsid w:val="000D63D1"/>
    <w:rsid w:val="000F0DB4"/>
    <w:rsid w:val="000F44F0"/>
    <w:rsid w:val="000F5001"/>
    <w:rsid w:val="000F7449"/>
    <w:rsid w:val="00107540"/>
    <w:rsid w:val="00111222"/>
    <w:rsid w:val="00114063"/>
    <w:rsid w:val="00127185"/>
    <w:rsid w:val="001378DF"/>
    <w:rsid w:val="00155D06"/>
    <w:rsid w:val="001574CA"/>
    <w:rsid w:val="0016191E"/>
    <w:rsid w:val="00167FA1"/>
    <w:rsid w:val="00172082"/>
    <w:rsid w:val="00182D48"/>
    <w:rsid w:val="001845EC"/>
    <w:rsid w:val="001A05F8"/>
    <w:rsid w:val="001B534C"/>
    <w:rsid w:val="001C5B6E"/>
    <w:rsid w:val="001D02EF"/>
    <w:rsid w:val="001D18B9"/>
    <w:rsid w:val="001D56DB"/>
    <w:rsid w:val="001D5A5C"/>
    <w:rsid w:val="001E2211"/>
    <w:rsid w:val="001F12D6"/>
    <w:rsid w:val="002127F0"/>
    <w:rsid w:val="002144EE"/>
    <w:rsid w:val="0021575C"/>
    <w:rsid w:val="00215947"/>
    <w:rsid w:val="00225268"/>
    <w:rsid w:val="00231BD5"/>
    <w:rsid w:val="002335B8"/>
    <w:rsid w:val="00240ADC"/>
    <w:rsid w:val="002511AE"/>
    <w:rsid w:val="00257150"/>
    <w:rsid w:val="002658AB"/>
    <w:rsid w:val="0026671A"/>
    <w:rsid w:val="002741FE"/>
    <w:rsid w:val="002935CF"/>
    <w:rsid w:val="002A3639"/>
    <w:rsid w:val="002B2A6B"/>
    <w:rsid w:val="002B6DF9"/>
    <w:rsid w:val="002C2348"/>
    <w:rsid w:val="002E6771"/>
    <w:rsid w:val="0030022B"/>
    <w:rsid w:val="0030167E"/>
    <w:rsid w:val="0030515E"/>
    <w:rsid w:val="003112DE"/>
    <w:rsid w:val="00313A5E"/>
    <w:rsid w:val="00320E1A"/>
    <w:rsid w:val="00322876"/>
    <w:rsid w:val="00323713"/>
    <w:rsid w:val="00323EF1"/>
    <w:rsid w:val="0032497E"/>
    <w:rsid w:val="00330F48"/>
    <w:rsid w:val="00336716"/>
    <w:rsid w:val="00344C60"/>
    <w:rsid w:val="00346068"/>
    <w:rsid w:val="00350F8D"/>
    <w:rsid w:val="00362DBC"/>
    <w:rsid w:val="00374E24"/>
    <w:rsid w:val="00375C64"/>
    <w:rsid w:val="00377B62"/>
    <w:rsid w:val="003A1894"/>
    <w:rsid w:val="003A1BF8"/>
    <w:rsid w:val="003A56BD"/>
    <w:rsid w:val="003B00AB"/>
    <w:rsid w:val="003B5D9A"/>
    <w:rsid w:val="003C3E57"/>
    <w:rsid w:val="003E2293"/>
    <w:rsid w:val="00400264"/>
    <w:rsid w:val="00404557"/>
    <w:rsid w:val="004122E7"/>
    <w:rsid w:val="00433309"/>
    <w:rsid w:val="004460EF"/>
    <w:rsid w:val="0044769C"/>
    <w:rsid w:val="004514A9"/>
    <w:rsid w:val="00464C1C"/>
    <w:rsid w:val="00464C6B"/>
    <w:rsid w:val="00471AA8"/>
    <w:rsid w:val="00495BC8"/>
    <w:rsid w:val="004A622F"/>
    <w:rsid w:val="004A7895"/>
    <w:rsid w:val="004C0525"/>
    <w:rsid w:val="004C156A"/>
    <w:rsid w:val="004D4D63"/>
    <w:rsid w:val="004D525B"/>
    <w:rsid w:val="004E4810"/>
    <w:rsid w:val="004F2F15"/>
    <w:rsid w:val="004F68DA"/>
    <w:rsid w:val="00500663"/>
    <w:rsid w:val="00521244"/>
    <w:rsid w:val="0052333F"/>
    <w:rsid w:val="00536293"/>
    <w:rsid w:val="00541F1F"/>
    <w:rsid w:val="005440B2"/>
    <w:rsid w:val="005458FF"/>
    <w:rsid w:val="005610B0"/>
    <w:rsid w:val="00562166"/>
    <w:rsid w:val="005710E5"/>
    <w:rsid w:val="00573FA2"/>
    <w:rsid w:val="00576056"/>
    <w:rsid w:val="005818D5"/>
    <w:rsid w:val="005A71D5"/>
    <w:rsid w:val="005B1A7C"/>
    <w:rsid w:val="005B3C22"/>
    <w:rsid w:val="005B7788"/>
    <w:rsid w:val="005D54FE"/>
    <w:rsid w:val="005E083B"/>
    <w:rsid w:val="0061033B"/>
    <w:rsid w:val="00612157"/>
    <w:rsid w:val="006259C5"/>
    <w:rsid w:val="00626FE2"/>
    <w:rsid w:val="00641248"/>
    <w:rsid w:val="00642F6F"/>
    <w:rsid w:val="006457D4"/>
    <w:rsid w:val="00647BD7"/>
    <w:rsid w:val="0065739B"/>
    <w:rsid w:val="00664CC4"/>
    <w:rsid w:val="006678F9"/>
    <w:rsid w:val="00667D64"/>
    <w:rsid w:val="0067587D"/>
    <w:rsid w:val="00684708"/>
    <w:rsid w:val="00684ABB"/>
    <w:rsid w:val="0068710B"/>
    <w:rsid w:val="00691C37"/>
    <w:rsid w:val="006B298D"/>
    <w:rsid w:val="006B4DD2"/>
    <w:rsid w:val="006C5782"/>
    <w:rsid w:val="006E3514"/>
    <w:rsid w:val="006E7D06"/>
    <w:rsid w:val="006E7E9D"/>
    <w:rsid w:val="00712FA0"/>
    <w:rsid w:val="0071573E"/>
    <w:rsid w:val="0072407C"/>
    <w:rsid w:val="00727ED3"/>
    <w:rsid w:val="00733322"/>
    <w:rsid w:val="007401C5"/>
    <w:rsid w:val="00741A49"/>
    <w:rsid w:val="00743C95"/>
    <w:rsid w:val="00754CF9"/>
    <w:rsid w:val="00756D25"/>
    <w:rsid w:val="00760E1D"/>
    <w:rsid w:val="00761E5F"/>
    <w:rsid w:val="00774157"/>
    <w:rsid w:val="00785342"/>
    <w:rsid w:val="00797D0B"/>
    <w:rsid w:val="007C0091"/>
    <w:rsid w:val="007C037E"/>
    <w:rsid w:val="007C26A8"/>
    <w:rsid w:val="007D654F"/>
    <w:rsid w:val="007D7204"/>
    <w:rsid w:val="007E4D4D"/>
    <w:rsid w:val="007E587C"/>
    <w:rsid w:val="007E7970"/>
    <w:rsid w:val="00800AD5"/>
    <w:rsid w:val="00801603"/>
    <w:rsid w:val="00814CB9"/>
    <w:rsid w:val="00816170"/>
    <w:rsid w:val="008176AB"/>
    <w:rsid w:val="00841809"/>
    <w:rsid w:val="00852E80"/>
    <w:rsid w:val="00861DC7"/>
    <w:rsid w:val="008821CA"/>
    <w:rsid w:val="00886E45"/>
    <w:rsid w:val="0089313B"/>
    <w:rsid w:val="008A3893"/>
    <w:rsid w:val="008A41F5"/>
    <w:rsid w:val="008B4B48"/>
    <w:rsid w:val="008B6555"/>
    <w:rsid w:val="008E4DAD"/>
    <w:rsid w:val="008F0413"/>
    <w:rsid w:val="008F7DD7"/>
    <w:rsid w:val="0090125B"/>
    <w:rsid w:val="009041A0"/>
    <w:rsid w:val="0091437F"/>
    <w:rsid w:val="00914B55"/>
    <w:rsid w:val="00930403"/>
    <w:rsid w:val="00950660"/>
    <w:rsid w:val="00962A80"/>
    <w:rsid w:val="00970733"/>
    <w:rsid w:val="00973F10"/>
    <w:rsid w:val="009902ED"/>
    <w:rsid w:val="009933F8"/>
    <w:rsid w:val="009968E4"/>
    <w:rsid w:val="009A0B67"/>
    <w:rsid w:val="009B3030"/>
    <w:rsid w:val="009D02EE"/>
    <w:rsid w:val="009E246C"/>
    <w:rsid w:val="00A24AF2"/>
    <w:rsid w:val="00A26F36"/>
    <w:rsid w:val="00A40920"/>
    <w:rsid w:val="00A46589"/>
    <w:rsid w:val="00A63041"/>
    <w:rsid w:val="00A70111"/>
    <w:rsid w:val="00A74A9F"/>
    <w:rsid w:val="00A8723E"/>
    <w:rsid w:val="00A873E4"/>
    <w:rsid w:val="00A920F7"/>
    <w:rsid w:val="00AA3DD6"/>
    <w:rsid w:val="00AB0CCC"/>
    <w:rsid w:val="00AB3D9A"/>
    <w:rsid w:val="00AB78E7"/>
    <w:rsid w:val="00AD204B"/>
    <w:rsid w:val="00AE0163"/>
    <w:rsid w:val="00AE6BB3"/>
    <w:rsid w:val="00AF2996"/>
    <w:rsid w:val="00B015C9"/>
    <w:rsid w:val="00B15EB8"/>
    <w:rsid w:val="00B2374B"/>
    <w:rsid w:val="00B302E6"/>
    <w:rsid w:val="00B33188"/>
    <w:rsid w:val="00B361F3"/>
    <w:rsid w:val="00B47A78"/>
    <w:rsid w:val="00B53A55"/>
    <w:rsid w:val="00B57D48"/>
    <w:rsid w:val="00B6520B"/>
    <w:rsid w:val="00B84181"/>
    <w:rsid w:val="00B90CBB"/>
    <w:rsid w:val="00BA6775"/>
    <w:rsid w:val="00BB6A50"/>
    <w:rsid w:val="00BC6E1B"/>
    <w:rsid w:val="00BD1597"/>
    <w:rsid w:val="00BD2341"/>
    <w:rsid w:val="00BE2A1B"/>
    <w:rsid w:val="00BE3EE4"/>
    <w:rsid w:val="00C07934"/>
    <w:rsid w:val="00C1246E"/>
    <w:rsid w:val="00C27937"/>
    <w:rsid w:val="00C32E41"/>
    <w:rsid w:val="00C347B5"/>
    <w:rsid w:val="00C375CF"/>
    <w:rsid w:val="00C537DD"/>
    <w:rsid w:val="00C56E91"/>
    <w:rsid w:val="00C64843"/>
    <w:rsid w:val="00C666DE"/>
    <w:rsid w:val="00C71119"/>
    <w:rsid w:val="00C86E88"/>
    <w:rsid w:val="00C87B29"/>
    <w:rsid w:val="00C9636D"/>
    <w:rsid w:val="00CB4C14"/>
    <w:rsid w:val="00CC2DDB"/>
    <w:rsid w:val="00CC414B"/>
    <w:rsid w:val="00CD0E59"/>
    <w:rsid w:val="00CD164C"/>
    <w:rsid w:val="00CD27BE"/>
    <w:rsid w:val="00CF5359"/>
    <w:rsid w:val="00D00240"/>
    <w:rsid w:val="00D0095D"/>
    <w:rsid w:val="00D221BF"/>
    <w:rsid w:val="00D32F9E"/>
    <w:rsid w:val="00D33116"/>
    <w:rsid w:val="00D33BBB"/>
    <w:rsid w:val="00D3724E"/>
    <w:rsid w:val="00D40F78"/>
    <w:rsid w:val="00D4190F"/>
    <w:rsid w:val="00D42BF5"/>
    <w:rsid w:val="00D458E2"/>
    <w:rsid w:val="00D539B4"/>
    <w:rsid w:val="00D739F8"/>
    <w:rsid w:val="00D739FF"/>
    <w:rsid w:val="00D77FC9"/>
    <w:rsid w:val="00DA438C"/>
    <w:rsid w:val="00DD02B1"/>
    <w:rsid w:val="00DD78FD"/>
    <w:rsid w:val="00DE2FE2"/>
    <w:rsid w:val="00DF5C3E"/>
    <w:rsid w:val="00DF6175"/>
    <w:rsid w:val="00E32AD7"/>
    <w:rsid w:val="00E36BE4"/>
    <w:rsid w:val="00E37446"/>
    <w:rsid w:val="00E460FC"/>
    <w:rsid w:val="00E50A51"/>
    <w:rsid w:val="00E5480D"/>
    <w:rsid w:val="00E65206"/>
    <w:rsid w:val="00E65A7A"/>
    <w:rsid w:val="00E80347"/>
    <w:rsid w:val="00E847E2"/>
    <w:rsid w:val="00E84E10"/>
    <w:rsid w:val="00E95371"/>
    <w:rsid w:val="00EB1AE1"/>
    <w:rsid w:val="00EB46E9"/>
    <w:rsid w:val="00EB7775"/>
    <w:rsid w:val="00EC0EDD"/>
    <w:rsid w:val="00ED333B"/>
    <w:rsid w:val="00ED719A"/>
    <w:rsid w:val="00EE2DAC"/>
    <w:rsid w:val="00EE3ED7"/>
    <w:rsid w:val="00EE4662"/>
    <w:rsid w:val="00EF028B"/>
    <w:rsid w:val="00F11326"/>
    <w:rsid w:val="00F2242B"/>
    <w:rsid w:val="00F27624"/>
    <w:rsid w:val="00F32131"/>
    <w:rsid w:val="00F3714C"/>
    <w:rsid w:val="00F433AC"/>
    <w:rsid w:val="00F46C66"/>
    <w:rsid w:val="00F61CB5"/>
    <w:rsid w:val="00F82AF0"/>
    <w:rsid w:val="00F8424F"/>
    <w:rsid w:val="00F86C3C"/>
    <w:rsid w:val="00F94D49"/>
    <w:rsid w:val="00FA6E46"/>
    <w:rsid w:val="00FB508C"/>
    <w:rsid w:val="00FC65A1"/>
    <w:rsid w:val="00FE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12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F9"/>
  </w:style>
  <w:style w:type="paragraph" w:styleId="Heading2">
    <w:name w:val="heading 2"/>
    <w:basedOn w:val="Normal"/>
    <w:next w:val="Normal"/>
    <w:link w:val="Heading2Char"/>
    <w:uiPriority w:val="9"/>
    <w:qFormat/>
    <w:rsid w:val="004F68DA"/>
    <w:pPr>
      <w:autoSpaceDE w:val="0"/>
      <w:autoSpaceDN w:val="0"/>
      <w:adjustRightInd w:val="0"/>
      <w:spacing w:after="0" w:line="240" w:lineRule="auto"/>
      <w:ind w:left="720"/>
      <w:outlineLvl w:val="1"/>
    </w:pPr>
    <w:rPr>
      <w:rFonts w:ascii="Calibri" w:eastAsia="Calibri" w:hAnsi="Calibri"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pPr>
      <w:spacing w:after="0" w:line="240" w:lineRule="auto"/>
    </w:pPr>
    <w:rPr>
      <w:rFonts w:ascii="Times New Roman" w:eastAsia="Times New Roman" w:hAnsi="Times New Roman" w:cs="Times New Roman"/>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semiHidden/>
    <w:unhideWhenUsed/>
    <w:rsid w:val="0030515E"/>
    <w:pPr>
      <w:spacing w:line="240" w:lineRule="auto"/>
    </w:pPr>
    <w:rPr>
      <w:sz w:val="20"/>
      <w:szCs w:val="20"/>
    </w:rPr>
  </w:style>
  <w:style w:type="character" w:customStyle="1" w:styleId="CommentTextChar">
    <w:name w:val="Comment Text Char"/>
    <w:basedOn w:val="DefaultParagraphFont"/>
    <w:link w:val="CommentText"/>
    <w:uiPriority w:val="99"/>
    <w:semiHidden/>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 w:type="paragraph" w:styleId="Header">
    <w:name w:val="header"/>
    <w:basedOn w:val="Normal"/>
    <w:link w:val="HeaderChar"/>
    <w:uiPriority w:val="99"/>
    <w:unhideWhenUsed/>
    <w:rsid w:val="00DA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8C"/>
  </w:style>
  <w:style w:type="paragraph" w:styleId="Footer">
    <w:name w:val="footer"/>
    <w:basedOn w:val="Normal"/>
    <w:link w:val="FooterChar"/>
    <w:uiPriority w:val="99"/>
    <w:unhideWhenUsed/>
    <w:rsid w:val="00DA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8C"/>
  </w:style>
  <w:style w:type="character" w:customStyle="1" w:styleId="Heading2Char">
    <w:name w:val="Heading 2 Char"/>
    <w:basedOn w:val="DefaultParagraphFont"/>
    <w:link w:val="Heading2"/>
    <w:uiPriority w:val="9"/>
    <w:rsid w:val="004F68DA"/>
    <w:rPr>
      <w:rFonts w:ascii="Calibri" w:eastAsia="Calibri" w:hAnsi="Calibri" w:cs="Tahoma"/>
      <w:b/>
      <w:bCs/>
    </w:rPr>
  </w:style>
  <w:style w:type="paragraph" w:styleId="NormalWeb">
    <w:name w:val="Normal (Web)"/>
    <w:basedOn w:val="Normal"/>
    <w:uiPriority w:val="99"/>
    <w:unhideWhenUsed/>
    <w:rsid w:val="004F68DA"/>
    <w:pPr>
      <w:spacing w:before="100" w:beforeAutospacing="1" w:after="100" w:afterAutospacing="1" w:line="240" w:lineRule="auto"/>
      <w:ind w:left="432"/>
    </w:pPr>
    <w:rPr>
      <w:rFonts w:ascii="Times New Roman" w:eastAsia="Times New Roman" w:hAnsi="Times New Roman" w:cs="Times New Roman"/>
      <w:sz w:val="24"/>
      <w:szCs w:val="24"/>
    </w:rPr>
  </w:style>
  <w:style w:type="paragraph" w:customStyle="1" w:styleId="Default">
    <w:name w:val="Default"/>
    <w:rsid w:val="004F68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5458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458FF"/>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uiPriority w:val="99"/>
    <w:rsid w:val="005458FF"/>
    <w:rPr>
      <w:rFonts w:ascii="Courier New" w:eastAsiaTheme="minorEastAsia" w:hAnsi="Courier New" w:cs="Times New Roman"/>
      <w:sz w:val="20"/>
      <w:szCs w:val="20"/>
    </w:rPr>
  </w:style>
  <w:style w:type="paragraph" w:customStyle="1" w:styleId="NoSpacing1">
    <w:name w:val="No Spacing1"/>
    <w:uiPriority w:val="1"/>
    <w:qFormat/>
    <w:rsid w:val="00155D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5402">
      <w:bodyDiv w:val="1"/>
      <w:marLeft w:val="0"/>
      <w:marRight w:val="0"/>
      <w:marTop w:val="0"/>
      <w:marBottom w:val="0"/>
      <w:divBdr>
        <w:top w:val="none" w:sz="0" w:space="0" w:color="auto"/>
        <w:left w:val="none" w:sz="0" w:space="0" w:color="auto"/>
        <w:bottom w:val="none" w:sz="0" w:space="0" w:color="auto"/>
        <w:right w:val="none" w:sz="0" w:space="0" w:color="auto"/>
      </w:divBdr>
    </w:div>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lletin.wustl.edu/medicine/policies/wusm-other/" TargetMode="External"/><Relationship Id="rId18" Type="http://schemas.openxmlformats.org/officeDocument/2006/relationships/hyperlink" Target="https://mddiversity.wustl.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phs.wustl.edu/students/student-handbook/" TargetMode="External"/><Relationship Id="rId17" Type="http://schemas.openxmlformats.org/officeDocument/2006/relationships/hyperlink" Target="https://diversity.med.wustl.edu/training/" TargetMode="External"/><Relationship Id="rId2" Type="http://schemas.openxmlformats.org/officeDocument/2006/relationships/numbering" Target="numbering.xml"/><Relationship Id="rId16" Type="http://schemas.openxmlformats.org/officeDocument/2006/relationships/hyperlink" Target="https://diversityinclusion.wustl.edu/brss/" TargetMode="External"/><Relationship Id="rId20" Type="http://schemas.openxmlformats.org/officeDocument/2006/relationships/hyperlink" Target="https://mailingsresponse.wustl.edu/trk/click?ref=z1030up2e7_2-bdaex3ab89x0844&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nduct.wustl.edu/academic-integrity/" TargetMode="External"/><Relationship Id="rId5" Type="http://schemas.openxmlformats.org/officeDocument/2006/relationships/webSettings" Target="webSettings.xml"/><Relationship Id="rId15" Type="http://schemas.openxmlformats.org/officeDocument/2006/relationships/hyperlink" Target="mailto:smithgladysa@wustl.edu" TargetMode="External"/><Relationship Id="rId23" Type="http://schemas.openxmlformats.org/officeDocument/2006/relationships/theme" Target="theme/theme1.xml"/><Relationship Id="rId10" Type="http://schemas.openxmlformats.org/officeDocument/2006/relationships/hyperlink" Target="https://mphs.wustl.edu/students/student-handbook/" TargetMode="External"/><Relationship Id="rId19" Type="http://schemas.openxmlformats.org/officeDocument/2006/relationships/hyperlink" Target="https://mailingsresponse.wustl.edu/trk/click?ref=z1030up2e7_2-bdaex3ab88x0844&amp;" TargetMode="External"/><Relationship Id="rId4" Type="http://schemas.openxmlformats.org/officeDocument/2006/relationships/settings" Target="settings.xml"/><Relationship Id="rId9" Type="http://schemas.openxmlformats.org/officeDocument/2006/relationships/hyperlink" Target="https://mphs.wustl.edu/students/student-handbook/" TargetMode="External"/><Relationship Id="rId14" Type="http://schemas.openxmlformats.org/officeDocument/2006/relationships/hyperlink" Target="http://shs.wustl.edu/Ment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E43E-2CCA-47EF-A9E0-D28FCDE0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Tabak, Rachel</cp:lastModifiedBy>
  <cp:revision>3</cp:revision>
  <cp:lastPrinted>2018-07-20T15:20:00Z</cp:lastPrinted>
  <dcterms:created xsi:type="dcterms:W3CDTF">2019-07-11T14:32:00Z</dcterms:created>
  <dcterms:modified xsi:type="dcterms:W3CDTF">2019-07-11T14:33:00Z</dcterms:modified>
</cp:coreProperties>
</file>