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4FDED" w14:textId="4F3947A0" w:rsidR="00C56E91" w:rsidRPr="003F282D" w:rsidRDefault="00433309" w:rsidP="007E587C">
      <w:pPr>
        <w:spacing w:after="0" w:line="240" w:lineRule="auto"/>
        <w:rPr>
          <w:rFonts w:cstheme="minorHAnsi"/>
        </w:rPr>
      </w:pPr>
      <w:r w:rsidRPr="003F282D">
        <w:rPr>
          <w:rFonts w:cstheme="minorHAnsi"/>
          <w:noProof/>
        </w:rPr>
        <w:drawing>
          <wp:anchor distT="0" distB="0" distL="114300" distR="114300" simplePos="0" relativeHeight="251658240" behindDoc="0" locked="0" layoutInCell="1" allowOverlap="1" wp14:anchorId="2B48435F" wp14:editId="05EB6252">
            <wp:simplePos x="0" y="0"/>
            <wp:positionH relativeFrom="margin">
              <wp:posOffset>66675</wp:posOffset>
            </wp:positionH>
            <wp:positionV relativeFrom="margin">
              <wp:posOffset>-571500</wp:posOffset>
            </wp:positionV>
            <wp:extent cx="6309360" cy="6559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09360" cy="655955"/>
                    </a:xfrm>
                    <a:prstGeom prst="rect">
                      <a:avLst/>
                    </a:prstGeom>
                  </pic:spPr>
                </pic:pic>
              </a:graphicData>
            </a:graphic>
            <wp14:sizeRelH relativeFrom="page">
              <wp14:pctWidth>0</wp14:pctWidth>
            </wp14:sizeRelH>
            <wp14:sizeRelV relativeFrom="page">
              <wp14:pctHeight>0</wp14:pctHeight>
            </wp14:sizeRelV>
          </wp:anchor>
        </w:drawing>
      </w:r>
    </w:p>
    <w:p w14:paraId="7B7BF02B" w14:textId="77777777" w:rsidR="007E587C" w:rsidRPr="003F282D" w:rsidRDefault="007E587C" w:rsidP="007E587C">
      <w:pPr>
        <w:spacing w:after="0" w:line="240" w:lineRule="auto"/>
        <w:rPr>
          <w:rFonts w:cstheme="minorHAnsi"/>
          <w:b/>
          <w:sz w:val="24"/>
          <w:szCs w:val="24"/>
        </w:rPr>
      </w:pPr>
    </w:p>
    <w:p w14:paraId="434F6309" w14:textId="6BE8F8EC" w:rsidR="00C56E91" w:rsidRPr="003F282D" w:rsidRDefault="00C56E91" w:rsidP="008F0413">
      <w:pPr>
        <w:spacing w:after="0" w:line="240" w:lineRule="auto"/>
        <w:jc w:val="center"/>
        <w:rPr>
          <w:rFonts w:cstheme="minorHAnsi"/>
          <w:b/>
          <w:sz w:val="24"/>
          <w:szCs w:val="24"/>
        </w:rPr>
      </w:pPr>
      <w:r w:rsidRPr="003F282D">
        <w:rPr>
          <w:rFonts w:cstheme="minorHAnsi"/>
          <w:b/>
          <w:sz w:val="24"/>
          <w:szCs w:val="24"/>
        </w:rPr>
        <w:t>M19-</w:t>
      </w:r>
      <w:r w:rsidR="008F0413" w:rsidRPr="003F282D">
        <w:rPr>
          <w:rFonts w:cstheme="minorHAnsi"/>
          <w:b/>
          <w:sz w:val="24"/>
          <w:szCs w:val="24"/>
        </w:rPr>
        <w:t>5</w:t>
      </w:r>
      <w:r w:rsidR="002205D2" w:rsidRPr="003F282D">
        <w:rPr>
          <w:rFonts w:cstheme="minorHAnsi"/>
          <w:b/>
          <w:sz w:val="24"/>
          <w:szCs w:val="24"/>
        </w:rPr>
        <w:t>51</w:t>
      </w:r>
      <w:r w:rsidRPr="003F282D">
        <w:rPr>
          <w:rFonts w:cstheme="minorHAnsi"/>
          <w:b/>
          <w:sz w:val="24"/>
          <w:szCs w:val="24"/>
        </w:rPr>
        <w:t xml:space="preserve"> </w:t>
      </w:r>
      <w:r w:rsidR="002205D2" w:rsidRPr="003F282D">
        <w:rPr>
          <w:rFonts w:cstheme="minorHAnsi"/>
          <w:b/>
          <w:sz w:val="24"/>
          <w:szCs w:val="24"/>
        </w:rPr>
        <w:t>Systematic Reviews and Meta-Analysis in Public Health and Clinical Medicine</w:t>
      </w:r>
    </w:p>
    <w:p w14:paraId="4ED45D74" w14:textId="67F20132" w:rsidR="007E587C" w:rsidRPr="003F282D" w:rsidRDefault="0069704D" w:rsidP="008F0413">
      <w:pPr>
        <w:spacing w:after="0" w:line="240" w:lineRule="auto"/>
        <w:jc w:val="center"/>
        <w:rPr>
          <w:rFonts w:cstheme="minorHAnsi"/>
        </w:rPr>
      </w:pPr>
      <w:r w:rsidRPr="003F282D">
        <w:rPr>
          <w:rFonts w:cstheme="minorHAnsi"/>
        </w:rPr>
        <w:t>Spring 20</w:t>
      </w:r>
      <w:r w:rsidR="00893C1E">
        <w:rPr>
          <w:rFonts w:cstheme="minorHAnsi"/>
        </w:rPr>
        <w:t>20</w:t>
      </w:r>
    </w:p>
    <w:p w14:paraId="57971E58" w14:textId="735F47BA" w:rsidR="00C56E91" w:rsidRPr="003F282D" w:rsidRDefault="0069704D" w:rsidP="00C56E91">
      <w:pPr>
        <w:spacing w:after="0" w:line="240" w:lineRule="auto"/>
        <w:jc w:val="center"/>
        <w:rPr>
          <w:rFonts w:cstheme="minorHAnsi"/>
        </w:rPr>
      </w:pPr>
      <w:r w:rsidRPr="003F282D">
        <w:rPr>
          <w:rFonts w:cstheme="minorHAnsi"/>
        </w:rPr>
        <w:t>Fridays</w:t>
      </w:r>
      <w:r w:rsidR="00C56E91" w:rsidRPr="003F282D">
        <w:rPr>
          <w:rFonts w:cstheme="minorHAnsi"/>
        </w:rPr>
        <w:t xml:space="preserve">, </w:t>
      </w:r>
      <w:r w:rsidRPr="003F282D">
        <w:rPr>
          <w:rFonts w:cstheme="minorHAnsi"/>
        </w:rPr>
        <w:t>9:00 am to 12:00</w:t>
      </w:r>
      <w:r w:rsidR="00C56E91" w:rsidRPr="003F282D">
        <w:rPr>
          <w:rFonts w:cstheme="minorHAnsi"/>
        </w:rPr>
        <w:t xml:space="preserve"> pm </w:t>
      </w:r>
    </w:p>
    <w:p w14:paraId="5B73FA26" w14:textId="77777777" w:rsidR="00C56E91" w:rsidRPr="003F282D" w:rsidRDefault="00C56E91" w:rsidP="00C56E91">
      <w:pPr>
        <w:spacing w:after="0" w:line="240" w:lineRule="auto"/>
        <w:jc w:val="center"/>
        <w:rPr>
          <w:rFonts w:cstheme="minorHAnsi"/>
        </w:rPr>
      </w:pPr>
      <w:r w:rsidRPr="003F282D">
        <w:rPr>
          <w:rFonts w:cstheme="minorHAnsi"/>
        </w:rPr>
        <w:t xml:space="preserve">Location: Taylor Avenue Building </w:t>
      </w:r>
    </w:p>
    <w:p w14:paraId="338E33C2" w14:textId="0B505807" w:rsidR="00C56E91" w:rsidRPr="003F282D" w:rsidRDefault="00C56E91" w:rsidP="00C56E91">
      <w:pPr>
        <w:spacing w:after="0" w:line="240" w:lineRule="auto"/>
        <w:jc w:val="center"/>
        <w:rPr>
          <w:rFonts w:cstheme="minorHAnsi"/>
        </w:rPr>
      </w:pPr>
      <w:r w:rsidRPr="003F282D">
        <w:rPr>
          <w:rFonts w:cstheme="minorHAnsi"/>
        </w:rPr>
        <w:t>2nd floor, Richmond Room</w:t>
      </w:r>
    </w:p>
    <w:p w14:paraId="288E5D34" w14:textId="77777777" w:rsidR="00086933" w:rsidRPr="003F282D" w:rsidRDefault="00086933" w:rsidP="00F82AF0">
      <w:pPr>
        <w:spacing w:after="0" w:line="240" w:lineRule="auto"/>
        <w:rPr>
          <w:rFonts w:cstheme="minorHAnsi"/>
          <w:u w:val="single"/>
        </w:rPr>
      </w:pPr>
    </w:p>
    <w:p w14:paraId="75043F92" w14:textId="5FDE4D28" w:rsidR="00F82AF0" w:rsidRPr="003F282D" w:rsidRDefault="00F82AF0" w:rsidP="00464C6B">
      <w:pPr>
        <w:spacing w:after="0" w:line="240" w:lineRule="auto"/>
        <w:rPr>
          <w:rFonts w:cstheme="minorHAnsi"/>
          <w:u w:val="single"/>
        </w:rPr>
      </w:pPr>
      <w:r w:rsidRPr="003F282D">
        <w:rPr>
          <w:rFonts w:cstheme="minorHAnsi"/>
          <w:b/>
          <w:u w:val="single"/>
        </w:rPr>
        <w:t>I</w:t>
      </w:r>
      <w:r w:rsidR="00086933" w:rsidRPr="003F282D">
        <w:rPr>
          <w:rFonts w:cstheme="minorHAnsi"/>
          <w:b/>
          <w:u w:val="single"/>
        </w:rPr>
        <w:t>NSTRUCT</w:t>
      </w:r>
      <w:r w:rsidR="007E587C" w:rsidRPr="003F282D">
        <w:rPr>
          <w:rFonts w:cstheme="minorHAnsi"/>
          <w:b/>
          <w:u w:val="single"/>
        </w:rPr>
        <w:t>ORS</w:t>
      </w:r>
    </w:p>
    <w:p w14:paraId="40850A15" w14:textId="77777777" w:rsidR="003F282D" w:rsidRPr="003F282D" w:rsidRDefault="003F282D" w:rsidP="003F282D">
      <w:pPr>
        <w:spacing w:after="0"/>
        <w:rPr>
          <w:rFonts w:cstheme="minorHAnsi"/>
        </w:rPr>
      </w:pPr>
      <w:r w:rsidRPr="003F282D">
        <w:rPr>
          <w:rFonts w:cstheme="minorHAnsi"/>
        </w:rPr>
        <w:t xml:space="preserve">Graham A. Colditz, MD, </w:t>
      </w:r>
      <w:r w:rsidRPr="003F282D">
        <w:rPr>
          <w:rStyle w:val="Hyperlink"/>
          <w:rFonts w:cstheme="minorHAnsi"/>
        </w:rPr>
        <w:t>colditzg@wustl.edu</w:t>
      </w:r>
    </w:p>
    <w:p w14:paraId="4AE09029" w14:textId="087D5953" w:rsidR="003F282D" w:rsidRPr="003F282D" w:rsidRDefault="00893C1E" w:rsidP="003F282D">
      <w:pPr>
        <w:spacing w:after="0"/>
        <w:rPr>
          <w:rFonts w:cstheme="minorHAnsi"/>
        </w:rPr>
      </w:pPr>
      <w:hyperlink r:id="rId9" w:history="1"/>
      <w:r w:rsidR="003F282D" w:rsidRPr="003F282D">
        <w:rPr>
          <w:rFonts w:cstheme="minorHAnsi"/>
        </w:rPr>
        <w:t>Carrie Stoll, MSW, MPH</w:t>
      </w:r>
      <w:r>
        <w:rPr>
          <w:rFonts w:cstheme="minorHAnsi"/>
        </w:rPr>
        <w:t>,</w:t>
      </w:r>
      <w:r w:rsidR="003F282D" w:rsidRPr="003F282D">
        <w:rPr>
          <w:rFonts w:cstheme="minorHAnsi"/>
        </w:rPr>
        <w:t xml:space="preserve"> </w:t>
      </w:r>
      <w:hyperlink r:id="rId10" w:history="1">
        <w:r w:rsidRPr="00DD7F6B">
          <w:rPr>
            <w:rStyle w:val="Hyperlink"/>
            <w:rFonts w:cstheme="minorHAnsi"/>
          </w:rPr>
          <w:t>carolyn.stoll@wustl.edu</w:t>
        </w:r>
      </w:hyperlink>
      <w:r>
        <w:rPr>
          <w:rFonts w:cstheme="minorHAnsi"/>
        </w:rPr>
        <w:t xml:space="preserve"> </w:t>
      </w:r>
      <w:r w:rsidR="003F282D" w:rsidRPr="003F282D">
        <w:rPr>
          <w:rFonts w:cstheme="minorHAnsi"/>
        </w:rPr>
        <w:t xml:space="preserve">  </w:t>
      </w:r>
    </w:p>
    <w:p w14:paraId="0FF0839C" w14:textId="77777777" w:rsidR="007E587C" w:rsidRPr="003F282D" w:rsidRDefault="007E587C" w:rsidP="00464C6B">
      <w:pPr>
        <w:spacing w:after="0" w:line="240" w:lineRule="auto"/>
        <w:rPr>
          <w:rFonts w:cstheme="minorHAnsi"/>
          <w:b/>
          <w:u w:val="single"/>
        </w:rPr>
      </w:pPr>
    </w:p>
    <w:p w14:paraId="5DD8A885" w14:textId="5BC1936D" w:rsidR="00801603" w:rsidRPr="003F282D" w:rsidRDefault="007E587C" w:rsidP="00464C6B">
      <w:pPr>
        <w:spacing w:after="0" w:line="240" w:lineRule="auto"/>
        <w:rPr>
          <w:rFonts w:cstheme="minorHAnsi"/>
          <w:u w:val="single"/>
        </w:rPr>
      </w:pPr>
      <w:r w:rsidRPr="003F282D">
        <w:rPr>
          <w:rFonts w:cstheme="minorHAnsi"/>
          <w:b/>
          <w:u w:val="single"/>
        </w:rPr>
        <w:t>OFFICE HOURS</w:t>
      </w:r>
      <w:r w:rsidR="00801603" w:rsidRPr="003F282D">
        <w:rPr>
          <w:rFonts w:cstheme="minorHAnsi"/>
          <w:u w:val="single"/>
        </w:rPr>
        <w:t xml:space="preserve"> </w:t>
      </w:r>
    </w:p>
    <w:p w14:paraId="7BAF522D" w14:textId="536A87A1" w:rsidR="007E587C" w:rsidRPr="003F282D" w:rsidRDefault="0069704D" w:rsidP="00464C6B">
      <w:pPr>
        <w:spacing w:after="0" w:line="240" w:lineRule="auto"/>
        <w:rPr>
          <w:rFonts w:cstheme="minorHAnsi"/>
          <w:u w:val="single"/>
        </w:rPr>
      </w:pPr>
      <w:r w:rsidRPr="003F282D">
        <w:rPr>
          <w:rFonts w:cstheme="minorHAnsi"/>
        </w:rPr>
        <w:t>By appointment and after class</w:t>
      </w:r>
    </w:p>
    <w:p w14:paraId="6E42DE7B" w14:textId="77777777" w:rsidR="00086933" w:rsidRPr="003F282D" w:rsidRDefault="00086933" w:rsidP="00464C6B">
      <w:pPr>
        <w:spacing w:after="0" w:line="240" w:lineRule="auto"/>
        <w:rPr>
          <w:rFonts w:cstheme="minorHAnsi"/>
          <w:u w:val="single"/>
        </w:rPr>
      </w:pPr>
    </w:p>
    <w:p w14:paraId="29DA98C1" w14:textId="77777777" w:rsidR="00086933" w:rsidRPr="003F282D" w:rsidRDefault="00086933" w:rsidP="00464C6B">
      <w:pPr>
        <w:spacing w:after="0" w:line="240" w:lineRule="auto"/>
        <w:rPr>
          <w:rFonts w:cstheme="minorHAnsi"/>
          <w:b/>
          <w:u w:val="single"/>
        </w:rPr>
      </w:pPr>
      <w:r w:rsidRPr="003F282D">
        <w:rPr>
          <w:rFonts w:cstheme="minorHAnsi"/>
          <w:b/>
          <w:u w:val="single"/>
        </w:rPr>
        <w:t>PREREQUISITES</w:t>
      </w:r>
    </w:p>
    <w:p w14:paraId="22EB6F5A" w14:textId="77777777" w:rsidR="0069704D" w:rsidRPr="003F282D" w:rsidRDefault="0069704D" w:rsidP="0069704D">
      <w:pPr>
        <w:rPr>
          <w:rFonts w:cstheme="minorHAnsi"/>
        </w:rPr>
      </w:pPr>
      <w:r w:rsidRPr="003F282D">
        <w:rPr>
          <w:rFonts w:cstheme="minorHAnsi"/>
        </w:rPr>
        <w:t>Introductory epidemiology and biosta</w:t>
      </w:r>
      <w:bookmarkStart w:id="0" w:name="_GoBack"/>
      <w:bookmarkEnd w:id="0"/>
      <w:r w:rsidRPr="003F282D">
        <w:rPr>
          <w:rFonts w:cstheme="minorHAnsi"/>
        </w:rPr>
        <w:t>tistics 1 (or permission of the course master)</w:t>
      </w:r>
    </w:p>
    <w:p w14:paraId="52029B58" w14:textId="6EA790A7" w:rsidR="00F82AF0" w:rsidRPr="003F282D" w:rsidRDefault="007E587C" w:rsidP="00464C6B">
      <w:pPr>
        <w:spacing w:after="0" w:line="240" w:lineRule="auto"/>
        <w:rPr>
          <w:rFonts w:cstheme="minorHAnsi"/>
          <w:b/>
          <w:u w:val="single"/>
        </w:rPr>
      </w:pPr>
      <w:r w:rsidRPr="003F282D">
        <w:rPr>
          <w:rFonts w:cstheme="minorHAnsi"/>
          <w:b/>
          <w:u w:val="single"/>
        </w:rPr>
        <w:t>TARGET AUDIENCE</w:t>
      </w:r>
    </w:p>
    <w:p w14:paraId="67C28FC5" w14:textId="77777777" w:rsidR="0069704D" w:rsidRPr="003F282D" w:rsidRDefault="0069704D" w:rsidP="0069704D">
      <w:pPr>
        <w:rPr>
          <w:rFonts w:cstheme="minorHAnsi"/>
        </w:rPr>
      </w:pPr>
      <w:r w:rsidRPr="003F282D">
        <w:rPr>
          <w:rFonts w:cstheme="minorHAnsi"/>
        </w:rPr>
        <w:t>Clinicians interested in conducting research synthesis or meta-analysis to inform practice or policy, clinical training program participants, students enrolled in Genetic Epidemiology Master of Science program, students in MPH addressing application of epidemiologic data to prevention. Prior clinical or community research experience is helpful but not required.</w:t>
      </w:r>
    </w:p>
    <w:p w14:paraId="2880C7BA" w14:textId="186FFAA4" w:rsidR="00DA438C" w:rsidRPr="003F282D" w:rsidRDefault="0069704D" w:rsidP="00464C6B">
      <w:pPr>
        <w:spacing w:after="0" w:line="240" w:lineRule="auto"/>
        <w:rPr>
          <w:rStyle w:val="apple-converted-space"/>
          <w:rFonts w:cstheme="minorHAnsi"/>
          <w:u w:val="single"/>
        </w:rPr>
      </w:pPr>
      <w:r w:rsidRPr="003F282D">
        <w:rPr>
          <w:rFonts w:cstheme="minorHAnsi"/>
          <w:b/>
          <w:u w:val="single"/>
        </w:rPr>
        <w:t>COURSE DESC</w:t>
      </w:r>
      <w:r w:rsidR="007E587C" w:rsidRPr="003F282D">
        <w:rPr>
          <w:rFonts w:cstheme="minorHAnsi"/>
          <w:b/>
          <w:u w:val="single"/>
        </w:rPr>
        <w:t>R</w:t>
      </w:r>
      <w:r w:rsidRPr="003F282D">
        <w:rPr>
          <w:rFonts w:cstheme="minorHAnsi"/>
          <w:b/>
          <w:u w:val="single"/>
        </w:rPr>
        <w:t>IP</w:t>
      </w:r>
      <w:r w:rsidR="007E587C" w:rsidRPr="003F282D">
        <w:rPr>
          <w:rFonts w:cstheme="minorHAnsi"/>
          <w:b/>
          <w:u w:val="single"/>
        </w:rPr>
        <w:t>TION &amp; OBJECTIVES</w:t>
      </w:r>
    </w:p>
    <w:p w14:paraId="208581AD" w14:textId="5E501F09" w:rsidR="0069704D" w:rsidRPr="003F282D" w:rsidRDefault="0069704D" w:rsidP="0069704D">
      <w:pPr>
        <w:rPr>
          <w:rFonts w:cstheme="minorHAnsi"/>
        </w:rPr>
      </w:pPr>
      <w:r w:rsidRPr="003F282D">
        <w:rPr>
          <w:rFonts w:cstheme="minorHAnsi"/>
        </w:rPr>
        <w:t>Introduction to the use of meta-analysis and related methods used to synthesize and evaluate epidemiological and clinical research in public health</w:t>
      </w:r>
      <w:r w:rsidRPr="003F282D">
        <w:rPr>
          <w:rFonts w:cstheme="minorHAnsi"/>
          <w:b/>
        </w:rPr>
        <w:t xml:space="preserve"> </w:t>
      </w:r>
      <w:r w:rsidRPr="003F282D">
        <w:rPr>
          <w:rFonts w:cstheme="minorHAnsi"/>
        </w:rPr>
        <w:t>and clinical medicine.  Concepts introduced and illustrated through case studies of public health and medical issues.</w:t>
      </w:r>
    </w:p>
    <w:p w14:paraId="42C3816C" w14:textId="2733A8D2" w:rsidR="0069704D" w:rsidRPr="003F282D" w:rsidRDefault="0069704D" w:rsidP="0069704D">
      <w:pPr>
        <w:rPr>
          <w:rFonts w:cstheme="minorHAnsi"/>
        </w:rPr>
      </w:pPr>
      <w:r w:rsidRPr="003F282D">
        <w:rPr>
          <w:rFonts w:cstheme="minorHAnsi"/>
        </w:rPr>
        <w:t>Objectives are to learn how to use a variety of formal and informal methods for synthesizing epidemiological information on public health risks, to understand how to use these methods to assess the strength of the evidence in policy development and clinical contexts, and to appreciate how research synthesis can contribute to rational policy making in controversial areas.</w:t>
      </w:r>
    </w:p>
    <w:p w14:paraId="2115EE1F" w14:textId="77777777" w:rsidR="00464C6B" w:rsidRPr="003F282D" w:rsidRDefault="00464C6B" w:rsidP="00464C6B">
      <w:pPr>
        <w:spacing w:after="0" w:line="240" w:lineRule="auto"/>
        <w:rPr>
          <w:rStyle w:val="apple-converted-space"/>
          <w:rFonts w:cstheme="minorHAnsi"/>
          <w:b/>
          <w:color w:val="000000"/>
          <w:u w:val="single"/>
        </w:rPr>
      </w:pPr>
    </w:p>
    <w:p w14:paraId="12917FFF" w14:textId="0350B6F9" w:rsidR="00DA438C" w:rsidRPr="003F282D" w:rsidRDefault="007E587C" w:rsidP="00464C6B">
      <w:pPr>
        <w:spacing w:after="0" w:line="240" w:lineRule="auto"/>
        <w:rPr>
          <w:rFonts w:cstheme="minorHAnsi"/>
          <w:u w:val="single"/>
        </w:rPr>
      </w:pPr>
      <w:r w:rsidRPr="003F282D">
        <w:rPr>
          <w:rFonts w:cstheme="minorHAnsi"/>
          <w:b/>
          <w:u w:val="single"/>
        </w:rPr>
        <w:t>COMPETENCIES</w:t>
      </w:r>
    </w:p>
    <w:p w14:paraId="39C9097D" w14:textId="77777777" w:rsidR="00E42626" w:rsidRPr="003F282D" w:rsidRDefault="00E42626" w:rsidP="003F282D">
      <w:pPr>
        <w:spacing w:after="0"/>
        <w:rPr>
          <w:rFonts w:cstheme="minorHAnsi"/>
        </w:rPr>
      </w:pPr>
      <w:r w:rsidRPr="003F282D">
        <w:rPr>
          <w:rFonts w:cstheme="minorHAnsi"/>
        </w:rPr>
        <w:t>Ability to design research synthesis and meta-analysis</w:t>
      </w:r>
    </w:p>
    <w:p w14:paraId="707DCD49" w14:textId="77777777" w:rsidR="00E42626" w:rsidRPr="003F282D" w:rsidRDefault="00E42626" w:rsidP="003F282D">
      <w:pPr>
        <w:pStyle w:val="ListParagraph"/>
        <w:numPr>
          <w:ilvl w:val="0"/>
          <w:numId w:val="25"/>
        </w:numPr>
        <w:spacing w:after="0"/>
        <w:rPr>
          <w:rFonts w:cstheme="minorHAnsi"/>
        </w:rPr>
      </w:pPr>
      <w:r w:rsidRPr="003F282D">
        <w:rPr>
          <w:rFonts w:cstheme="minorHAnsi"/>
        </w:rPr>
        <w:t>Define research question</w:t>
      </w:r>
    </w:p>
    <w:p w14:paraId="2539514C" w14:textId="77777777" w:rsidR="00E42626" w:rsidRPr="003F282D" w:rsidRDefault="00E42626" w:rsidP="003F282D">
      <w:pPr>
        <w:pStyle w:val="ListParagraph"/>
        <w:numPr>
          <w:ilvl w:val="0"/>
          <w:numId w:val="25"/>
        </w:numPr>
        <w:spacing w:after="0"/>
        <w:rPr>
          <w:rFonts w:cstheme="minorHAnsi"/>
        </w:rPr>
      </w:pPr>
      <w:r w:rsidRPr="003F282D">
        <w:rPr>
          <w:rFonts w:cstheme="minorHAnsi"/>
        </w:rPr>
        <w:t>Define literature search strategy</w:t>
      </w:r>
    </w:p>
    <w:p w14:paraId="22F09A1E" w14:textId="77777777" w:rsidR="00E42626" w:rsidRPr="003F282D" w:rsidRDefault="00E42626" w:rsidP="003F282D">
      <w:pPr>
        <w:pStyle w:val="ListParagraph"/>
        <w:numPr>
          <w:ilvl w:val="0"/>
          <w:numId w:val="25"/>
        </w:numPr>
        <w:spacing w:after="0"/>
        <w:rPr>
          <w:rFonts w:cstheme="minorHAnsi"/>
        </w:rPr>
      </w:pPr>
      <w:r w:rsidRPr="003F282D">
        <w:rPr>
          <w:rFonts w:cstheme="minorHAnsi"/>
        </w:rPr>
        <w:t>Conduct literature search and document the process</w:t>
      </w:r>
    </w:p>
    <w:p w14:paraId="03552BA5" w14:textId="77777777" w:rsidR="00E42626" w:rsidRPr="003F282D" w:rsidRDefault="00E42626" w:rsidP="003F282D">
      <w:pPr>
        <w:pStyle w:val="ListParagraph"/>
        <w:numPr>
          <w:ilvl w:val="0"/>
          <w:numId w:val="25"/>
        </w:numPr>
        <w:spacing w:after="0"/>
        <w:rPr>
          <w:rFonts w:cstheme="minorHAnsi"/>
        </w:rPr>
      </w:pPr>
      <w:r w:rsidRPr="003F282D">
        <w:rPr>
          <w:rFonts w:cstheme="minorHAnsi"/>
        </w:rPr>
        <w:t>Apply eligibility criteria, data extraction, and data quality scoring</w:t>
      </w:r>
    </w:p>
    <w:p w14:paraId="75781C00" w14:textId="77777777" w:rsidR="00E42626" w:rsidRPr="003F282D" w:rsidRDefault="00E42626" w:rsidP="003F282D">
      <w:pPr>
        <w:pStyle w:val="ListParagraph"/>
        <w:numPr>
          <w:ilvl w:val="0"/>
          <w:numId w:val="25"/>
        </w:numPr>
        <w:spacing w:after="0"/>
        <w:rPr>
          <w:rFonts w:cstheme="minorHAnsi"/>
        </w:rPr>
      </w:pPr>
      <w:r w:rsidRPr="003F282D">
        <w:rPr>
          <w:rFonts w:cstheme="minorHAnsi"/>
        </w:rPr>
        <w:t>Develop data analysis plan</w:t>
      </w:r>
    </w:p>
    <w:p w14:paraId="1BD71BA6" w14:textId="77777777" w:rsidR="00E42626" w:rsidRPr="003F282D" w:rsidRDefault="00E42626" w:rsidP="003F282D">
      <w:pPr>
        <w:pStyle w:val="ListParagraph"/>
        <w:numPr>
          <w:ilvl w:val="0"/>
          <w:numId w:val="25"/>
        </w:numPr>
        <w:spacing w:after="0"/>
        <w:rPr>
          <w:rFonts w:cstheme="minorHAnsi"/>
        </w:rPr>
      </w:pPr>
      <w:r w:rsidRPr="003F282D">
        <w:rPr>
          <w:rFonts w:cstheme="minorHAnsi"/>
        </w:rPr>
        <w:t>Understand and interpret fixed-effects, random-effects, and meta-regression methods and results</w:t>
      </w:r>
    </w:p>
    <w:p w14:paraId="264C6C39" w14:textId="77777777" w:rsidR="00E42626" w:rsidRPr="003F282D" w:rsidRDefault="00E42626" w:rsidP="003F282D">
      <w:pPr>
        <w:pStyle w:val="ListParagraph"/>
        <w:numPr>
          <w:ilvl w:val="0"/>
          <w:numId w:val="25"/>
        </w:numPr>
        <w:spacing w:after="0"/>
        <w:rPr>
          <w:rFonts w:cstheme="minorHAnsi"/>
        </w:rPr>
      </w:pPr>
      <w:r w:rsidRPr="003F282D">
        <w:rPr>
          <w:rFonts w:cstheme="minorHAnsi"/>
        </w:rPr>
        <w:t>Recognize heterogeneity and approaches to quantification and reporting of among-study variation</w:t>
      </w:r>
    </w:p>
    <w:p w14:paraId="5CE09408" w14:textId="77777777" w:rsidR="00E42626" w:rsidRPr="003F282D" w:rsidRDefault="00E42626" w:rsidP="003F282D">
      <w:pPr>
        <w:spacing w:after="0"/>
        <w:rPr>
          <w:rFonts w:cstheme="minorHAnsi"/>
        </w:rPr>
      </w:pPr>
      <w:r w:rsidRPr="003F282D">
        <w:rPr>
          <w:rFonts w:cstheme="minorHAnsi"/>
        </w:rPr>
        <w:t>Skills and experience to conduct analysis</w:t>
      </w:r>
    </w:p>
    <w:p w14:paraId="2E9BE221" w14:textId="77777777" w:rsidR="00E42626" w:rsidRPr="003F282D" w:rsidRDefault="00E42626" w:rsidP="003F282D">
      <w:pPr>
        <w:pStyle w:val="ListParagraph"/>
        <w:numPr>
          <w:ilvl w:val="0"/>
          <w:numId w:val="26"/>
        </w:numPr>
        <w:spacing w:after="0"/>
        <w:rPr>
          <w:rFonts w:cstheme="minorHAnsi"/>
        </w:rPr>
      </w:pPr>
      <w:r w:rsidRPr="003F282D">
        <w:rPr>
          <w:rFonts w:cstheme="minorHAnsi"/>
        </w:rPr>
        <w:lastRenderedPageBreak/>
        <w:t>Master data analysis and model fitting in context of meta-analysis</w:t>
      </w:r>
    </w:p>
    <w:p w14:paraId="2D3EE30E" w14:textId="77777777" w:rsidR="00E42626" w:rsidRPr="003F282D" w:rsidRDefault="00E42626" w:rsidP="003F282D">
      <w:pPr>
        <w:pStyle w:val="ListParagraph"/>
        <w:numPr>
          <w:ilvl w:val="0"/>
          <w:numId w:val="26"/>
        </w:numPr>
        <w:spacing w:after="0"/>
        <w:rPr>
          <w:rFonts w:cstheme="minorHAnsi"/>
        </w:rPr>
      </w:pPr>
      <w:r w:rsidRPr="003F282D">
        <w:rPr>
          <w:rFonts w:cstheme="minorHAnsi"/>
        </w:rPr>
        <w:t>Quantitatively evaluate publication bias</w:t>
      </w:r>
    </w:p>
    <w:p w14:paraId="60996C79" w14:textId="77777777" w:rsidR="00E42626" w:rsidRPr="003F282D" w:rsidRDefault="00E42626" w:rsidP="003F282D">
      <w:pPr>
        <w:pStyle w:val="ListParagraph"/>
        <w:numPr>
          <w:ilvl w:val="0"/>
          <w:numId w:val="26"/>
        </w:numPr>
        <w:spacing w:after="0"/>
        <w:rPr>
          <w:rFonts w:cstheme="minorHAnsi"/>
        </w:rPr>
      </w:pPr>
      <w:r w:rsidRPr="003F282D">
        <w:rPr>
          <w:rFonts w:cstheme="minorHAnsi"/>
        </w:rPr>
        <w:t>Be able to estimate combined results from reports of randomized trials, observational studies, and diagnostic test</w:t>
      </w:r>
    </w:p>
    <w:p w14:paraId="78E3365F" w14:textId="77777777" w:rsidR="00E42626" w:rsidRPr="003F282D" w:rsidRDefault="00E42626" w:rsidP="003F282D">
      <w:pPr>
        <w:spacing w:after="0"/>
        <w:rPr>
          <w:rFonts w:cstheme="minorHAnsi"/>
        </w:rPr>
      </w:pPr>
      <w:r w:rsidRPr="003F282D">
        <w:rPr>
          <w:rFonts w:cstheme="minorHAnsi"/>
        </w:rPr>
        <w:t>Master the core reporting strategies</w:t>
      </w:r>
    </w:p>
    <w:p w14:paraId="3FA9C13D" w14:textId="77777777" w:rsidR="00E42626" w:rsidRPr="003F282D" w:rsidRDefault="00E42626" w:rsidP="003F282D">
      <w:pPr>
        <w:pStyle w:val="ListParagraph"/>
        <w:numPr>
          <w:ilvl w:val="0"/>
          <w:numId w:val="27"/>
        </w:numPr>
        <w:spacing w:after="0"/>
        <w:rPr>
          <w:rFonts w:cstheme="minorHAnsi"/>
        </w:rPr>
      </w:pPr>
      <w:r w:rsidRPr="003F282D">
        <w:rPr>
          <w:rFonts w:cstheme="minorHAnsi"/>
        </w:rPr>
        <w:t>Master reporting standards for RCTs and observational data in context of meta-analysis</w:t>
      </w:r>
    </w:p>
    <w:p w14:paraId="6E671C32" w14:textId="77777777" w:rsidR="00E42626" w:rsidRPr="003F282D" w:rsidRDefault="00E42626" w:rsidP="003F282D">
      <w:pPr>
        <w:pStyle w:val="ListParagraph"/>
        <w:numPr>
          <w:ilvl w:val="0"/>
          <w:numId w:val="27"/>
        </w:numPr>
        <w:spacing w:after="0"/>
        <w:rPr>
          <w:rFonts w:cstheme="minorHAnsi"/>
        </w:rPr>
      </w:pPr>
      <w:r w:rsidRPr="003F282D">
        <w:rPr>
          <w:rFonts w:cstheme="minorHAnsi"/>
        </w:rPr>
        <w:t>Master forest plot, summary tables, and publication bias presentations</w:t>
      </w:r>
    </w:p>
    <w:p w14:paraId="04B19E9B" w14:textId="77777777" w:rsidR="00E42626" w:rsidRPr="003F282D" w:rsidRDefault="00E42626" w:rsidP="003F282D">
      <w:pPr>
        <w:spacing w:after="0"/>
        <w:rPr>
          <w:rFonts w:cstheme="minorHAnsi"/>
        </w:rPr>
      </w:pPr>
      <w:r w:rsidRPr="003F282D">
        <w:rPr>
          <w:rFonts w:cstheme="minorHAnsi"/>
        </w:rPr>
        <w:t>Draw inferences from data to inform clinical and public health practices</w:t>
      </w:r>
    </w:p>
    <w:p w14:paraId="2D1E5E47" w14:textId="77777777" w:rsidR="00E42626" w:rsidRPr="003F282D" w:rsidRDefault="00E42626" w:rsidP="003F282D">
      <w:pPr>
        <w:pStyle w:val="ListParagraph"/>
        <w:numPr>
          <w:ilvl w:val="0"/>
          <w:numId w:val="1"/>
        </w:numPr>
        <w:spacing w:after="0"/>
        <w:rPr>
          <w:rFonts w:cstheme="minorHAnsi"/>
        </w:rPr>
      </w:pPr>
      <w:r w:rsidRPr="003F282D">
        <w:rPr>
          <w:rFonts w:cstheme="minorHAnsi"/>
        </w:rPr>
        <w:t>Correctly use reasoning for design and methodologies employed</w:t>
      </w:r>
    </w:p>
    <w:p w14:paraId="01138597" w14:textId="77777777" w:rsidR="00E42626" w:rsidRPr="003F282D" w:rsidRDefault="00E42626" w:rsidP="003F282D">
      <w:pPr>
        <w:pStyle w:val="ListParagraph"/>
        <w:numPr>
          <w:ilvl w:val="0"/>
          <w:numId w:val="1"/>
        </w:numPr>
        <w:spacing w:after="0"/>
        <w:rPr>
          <w:rFonts w:cstheme="minorHAnsi"/>
        </w:rPr>
      </w:pPr>
      <w:r w:rsidRPr="003F282D">
        <w:rPr>
          <w:rFonts w:cstheme="minorHAnsi"/>
        </w:rPr>
        <w:t>Present oral and written reports from analyses</w:t>
      </w:r>
    </w:p>
    <w:p w14:paraId="64F8A362" w14:textId="77777777" w:rsidR="00E42626" w:rsidRPr="003F282D" w:rsidRDefault="00E42626" w:rsidP="003F282D">
      <w:pPr>
        <w:pStyle w:val="ListParagraph"/>
        <w:numPr>
          <w:ilvl w:val="0"/>
          <w:numId w:val="1"/>
        </w:numPr>
        <w:spacing w:after="0"/>
        <w:rPr>
          <w:rFonts w:cstheme="minorHAnsi"/>
          <w:b/>
        </w:rPr>
      </w:pPr>
      <w:r w:rsidRPr="003F282D">
        <w:rPr>
          <w:rFonts w:cstheme="minorHAnsi"/>
        </w:rPr>
        <w:t xml:space="preserve">Place inference in context of clinical and public health implications for action and future research </w:t>
      </w:r>
    </w:p>
    <w:p w14:paraId="72E806F7" w14:textId="77777777" w:rsidR="00DA438C" w:rsidRPr="003F282D" w:rsidRDefault="00DA438C" w:rsidP="00464C6B">
      <w:pPr>
        <w:spacing w:after="0" w:line="240" w:lineRule="auto"/>
        <w:rPr>
          <w:rStyle w:val="apple-converted-space"/>
          <w:rFonts w:cstheme="minorHAnsi"/>
          <w:b/>
          <w:color w:val="000000"/>
        </w:rPr>
      </w:pPr>
    </w:p>
    <w:p w14:paraId="2D5C4D08" w14:textId="60DEA6E2" w:rsidR="00464C6B" w:rsidRPr="003F282D" w:rsidRDefault="007E587C" w:rsidP="00464C6B">
      <w:pPr>
        <w:spacing w:after="0" w:line="240" w:lineRule="auto"/>
        <w:rPr>
          <w:rFonts w:cstheme="minorHAnsi"/>
          <w:color w:val="FF0000"/>
          <w:sz w:val="20"/>
        </w:rPr>
      </w:pPr>
      <w:r w:rsidRPr="003F282D">
        <w:rPr>
          <w:rStyle w:val="apple-converted-space"/>
          <w:rFonts w:cstheme="minorHAnsi"/>
          <w:b/>
          <w:color w:val="000000"/>
          <w:u w:val="single"/>
        </w:rPr>
        <w:t>GRADING</w:t>
      </w:r>
    </w:p>
    <w:p w14:paraId="589C3C6F" w14:textId="4904073E" w:rsidR="007E587C" w:rsidRPr="003F282D" w:rsidRDefault="007E587C" w:rsidP="00464C6B">
      <w:pPr>
        <w:spacing w:after="0" w:line="240" w:lineRule="auto"/>
        <w:rPr>
          <w:rFonts w:cstheme="minorHAnsi"/>
          <w:b/>
          <w:u w:val="single"/>
        </w:rPr>
      </w:pPr>
      <w:r w:rsidRPr="003F282D">
        <w:rPr>
          <w:rFonts w:cstheme="minorHAnsi"/>
        </w:rPr>
        <w:t>Your grade will be based on:</w:t>
      </w:r>
    </w:p>
    <w:p w14:paraId="0835F63F" w14:textId="796987CF" w:rsidR="007E587C" w:rsidRPr="003F282D" w:rsidRDefault="007E587C" w:rsidP="00464C6B">
      <w:pPr>
        <w:pStyle w:val="ListParagraph"/>
        <w:numPr>
          <w:ilvl w:val="0"/>
          <w:numId w:val="22"/>
        </w:numPr>
        <w:spacing w:after="0" w:line="240" w:lineRule="auto"/>
        <w:rPr>
          <w:rFonts w:cstheme="minorHAnsi"/>
        </w:rPr>
      </w:pPr>
      <w:r w:rsidRPr="003F282D">
        <w:rPr>
          <w:rFonts w:cstheme="minorHAnsi"/>
        </w:rPr>
        <w:t xml:space="preserve">HW 1: </w:t>
      </w:r>
      <w:r w:rsidR="00E42626" w:rsidRPr="003F282D">
        <w:rPr>
          <w:rFonts w:cstheme="minorHAnsi"/>
        </w:rPr>
        <w:t>Preliminary topic presentation</w:t>
      </w:r>
      <w:r w:rsidRPr="003F282D">
        <w:rPr>
          <w:rFonts w:cstheme="minorHAnsi"/>
        </w:rPr>
        <w:t xml:space="preserve"> (10%)</w:t>
      </w:r>
    </w:p>
    <w:p w14:paraId="19348A75" w14:textId="0ABD7390" w:rsidR="007E587C" w:rsidRPr="003F282D" w:rsidRDefault="007E587C" w:rsidP="00464C6B">
      <w:pPr>
        <w:pStyle w:val="ListParagraph"/>
        <w:numPr>
          <w:ilvl w:val="0"/>
          <w:numId w:val="22"/>
        </w:numPr>
        <w:spacing w:after="0" w:line="240" w:lineRule="auto"/>
        <w:rPr>
          <w:rFonts w:cstheme="minorHAnsi"/>
        </w:rPr>
      </w:pPr>
      <w:r w:rsidRPr="003F282D">
        <w:rPr>
          <w:rFonts w:cstheme="minorHAnsi"/>
        </w:rPr>
        <w:t xml:space="preserve">HW 2: </w:t>
      </w:r>
      <w:r w:rsidR="00E42626" w:rsidRPr="003F282D">
        <w:rPr>
          <w:rFonts w:cstheme="minorHAnsi"/>
        </w:rPr>
        <w:t>Library assignment</w:t>
      </w:r>
      <w:r w:rsidRPr="003F282D">
        <w:rPr>
          <w:rFonts w:cstheme="minorHAnsi"/>
        </w:rPr>
        <w:t xml:space="preserve"> (10%)</w:t>
      </w:r>
    </w:p>
    <w:p w14:paraId="0FB06D7E" w14:textId="40B3B86D" w:rsidR="007E587C" w:rsidRPr="003F282D" w:rsidRDefault="007E587C" w:rsidP="00464C6B">
      <w:pPr>
        <w:pStyle w:val="ListParagraph"/>
        <w:numPr>
          <w:ilvl w:val="0"/>
          <w:numId w:val="22"/>
        </w:numPr>
        <w:spacing w:after="0" w:line="240" w:lineRule="auto"/>
        <w:rPr>
          <w:rFonts w:cstheme="minorHAnsi"/>
        </w:rPr>
      </w:pPr>
      <w:r w:rsidRPr="003F282D">
        <w:rPr>
          <w:rFonts w:cstheme="minorHAnsi"/>
        </w:rPr>
        <w:t xml:space="preserve">HW 3: </w:t>
      </w:r>
      <w:r w:rsidR="00E42626" w:rsidRPr="003F282D">
        <w:rPr>
          <w:rFonts w:cstheme="minorHAnsi"/>
        </w:rPr>
        <w:t>Analysis in STATA</w:t>
      </w:r>
      <w:r w:rsidRPr="003F282D">
        <w:rPr>
          <w:rFonts w:cstheme="minorHAnsi"/>
        </w:rPr>
        <w:t xml:space="preserve"> (10%)</w:t>
      </w:r>
    </w:p>
    <w:p w14:paraId="49B71021" w14:textId="4EC29497" w:rsidR="00E42626" w:rsidRPr="003F282D" w:rsidRDefault="00E42626" w:rsidP="00464C6B">
      <w:pPr>
        <w:pStyle w:val="ListParagraph"/>
        <w:numPr>
          <w:ilvl w:val="0"/>
          <w:numId w:val="22"/>
        </w:numPr>
        <w:spacing w:after="0" w:line="240" w:lineRule="auto"/>
        <w:rPr>
          <w:rFonts w:cstheme="minorHAnsi"/>
        </w:rPr>
      </w:pPr>
      <w:r w:rsidRPr="003F282D">
        <w:rPr>
          <w:rFonts w:cstheme="minorHAnsi"/>
        </w:rPr>
        <w:t>HW 4: Data extraction (10%)</w:t>
      </w:r>
    </w:p>
    <w:p w14:paraId="3506268E" w14:textId="69B1AC97" w:rsidR="007E587C" w:rsidRPr="003F282D" w:rsidRDefault="007E587C" w:rsidP="00464C6B">
      <w:pPr>
        <w:pStyle w:val="ListParagraph"/>
        <w:numPr>
          <w:ilvl w:val="0"/>
          <w:numId w:val="22"/>
        </w:numPr>
        <w:spacing w:after="0" w:line="240" w:lineRule="auto"/>
        <w:rPr>
          <w:rFonts w:cstheme="minorHAnsi"/>
          <w:b/>
          <w:u w:val="single"/>
        </w:rPr>
      </w:pPr>
      <w:r w:rsidRPr="003F282D">
        <w:rPr>
          <w:rFonts w:cstheme="minorHAnsi"/>
        </w:rPr>
        <w:t xml:space="preserve">Final </w:t>
      </w:r>
      <w:r w:rsidR="00E42626" w:rsidRPr="003F282D">
        <w:rPr>
          <w:rFonts w:cstheme="minorHAnsi"/>
        </w:rPr>
        <w:t>pre</w:t>
      </w:r>
      <w:r w:rsidRPr="003F282D">
        <w:rPr>
          <w:rFonts w:cstheme="minorHAnsi"/>
        </w:rPr>
        <w:t>sentation (10%) and paper (50%)</w:t>
      </w:r>
    </w:p>
    <w:p w14:paraId="791CC4F4" w14:textId="77777777" w:rsidR="00464C6B" w:rsidRPr="003F282D" w:rsidRDefault="00464C6B" w:rsidP="00464C6B">
      <w:pPr>
        <w:pStyle w:val="ListParagraph"/>
        <w:spacing w:after="0" w:line="240" w:lineRule="auto"/>
        <w:rPr>
          <w:rFonts w:cstheme="minorHAnsi"/>
          <w:b/>
          <w:u w:val="single"/>
        </w:rPr>
      </w:pPr>
    </w:p>
    <w:p w14:paraId="56E956AF" w14:textId="77777777" w:rsidR="00086933" w:rsidRPr="003F282D" w:rsidRDefault="007E587C" w:rsidP="00464C6B">
      <w:pPr>
        <w:spacing w:after="0" w:line="240" w:lineRule="auto"/>
        <w:rPr>
          <w:rFonts w:cstheme="minorHAnsi"/>
        </w:rPr>
      </w:pPr>
      <w:r w:rsidRPr="003F282D">
        <w:rPr>
          <w:rFonts w:cstheme="minorHAnsi"/>
          <w:u w:val="single"/>
        </w:rPr>
        <w:t>Grading Scale</w:t>
      </w:r>
      <w:r w:rsidRPr="003F282D">
        <w:rPr>
          <w:rFonts w:cstheme="minorHAnsi"/>
        </w:rPr>
        <w:t xml:space="preserve"> </w:t>
      </w:r>
    </w:p>
    <w:p w14:paraId="52A10379" w14:textId="50AF52E9" w:rsidR="007E587C" w:rsidRPr="003F282D" w:rsidRDefault="007E587C" w:rsidP="00464C6B">
      <w:pPr>
        <w:spacing w:after="0" w:line="240" w:lineRule="auto"/>
        <w:rPr>
          <w:rFonts w:cstheme="minorHAnsi"/>
        </w:rPr>
      </w:pPr>
      <w:r w:rsidRPr="003F282D">
        <w:rPr>
          <w:rFonts w:cstheme="minorHAnsi"/>
        </w:rPr>
        <w:t>A+: 97-100; A: 93-96; A-: 90-92; B+: 87-89; B: 83-86; B-: 80-82; C+: 77-79; C: 73-76; C-: 70-72</w:t>
      </w:r>
    </w:p>
    <w:p w14:paraId="68C4199C" w14:textId="77777777" w:rsidR="00464C6B" w:rsidRPr="003F282D" w:rsidRDefault="00464C6B" w:rsidP="00464C6B">
      <w:pPr>
        <w:spacing w:after="0" w:line="240" w:lineRule="auto"/>
        <w:rPr>
          <w:rStyle w:val="apple-converted-space"/>
          <w:rFonts w:cstheme="minorHAnsi"/>
        </w:rPr>
      </w:pPr>
    </w:p>
    <w:p w14:paraId="7EA24105" w14:textId="77777777" w:rsidR="004460EF" w:rsidRPr="003F282D" w:rsidRDefault="004460EF" w:rsidP="00464C6B">
      <w:pPr>
        <w:spacing w:after="0" w:line="240" w:lineRule="auto"/>
        <w:rPr>
          <w:rStyle w:val="apple-converted-space"/>
          <w:rFonts w:cstheme="minorHAnsi"/>
        </w:rPr>
      </w:pPr>
    </w:p>
    <w:p w14:paraId="553A22C6" w14:textId="77777777" w:rsidR="00433309" w:rsidRPr="003F282D" w:rsidRDefault="007E587C" w:rsidP="00464C6B">
      <w:pPr>
        <w:spacing w:after="0" w:line="240" w:lineRule="auto"/>
        <w:rPr>
          <w:rFonts w:cstheme="minorHAnsi"/>
          <w:b/>
          <w:u w:val="single"/>
        </w:rPr>
      </w:pPr>
      <w:r w:rsidRPr="003F282D">
        <w:rPr>
          <w:rFonts w:cstheme="minorHAnsi"/>
          <w:b/>
          <w:u w:val="single"/>
        </w:rPr>
        <w:t>ATTENDANCE AND PARTICIPATION</w:t>
      </w:r>
    </w:p>
    <w:p w14:paraId="21C1CFCD" w14:textId="3254F1AD" w:rsidR="007E587C" w:rsidRPr="003F282D" w:rsidRDefault="007E587C" w:rsidP="00464C6B">
      <w:pPr>
        <w:spacing w:after="0" w:line="240" w:lineRule="auto"/>
        <w:rPr>
          <w:rFonts w:cstheme="minorHAnsi"/>
          <w:b/>
          <w:u w:val="single"/>
        </w:rPr>
      </w:pPr>
      <w:r w:rsidRPr="003F282D">
        <w:rPr>
          <w:rFonts w:cstheme="minorHAnsi"/>
        </w:rPr>
        <w:t>Class attendance is required. As a courtesy to other students, you are expected to arrive on time. More than two unexcused absences from class may result in a lowered grade. Readings assigned for each class should be read ahead of the class and students should be prepared to discuss the material from readings.</w:t>
      </w:r>
    </w:p>
    <w:p w14:paraId="0C3324A7" w14:textId="77777777" w:rsidR="004460EF" w:rsidRPr="003F282D" w:rsidRDefault="004460EF" w:rsidP="00464C6B">
      <w:pPr>
        <w:spacing w:after="0" w:line="240" w:lineRule="auto"/>
        <w:rPr>
          <w:rFonts w:cstheme="minorHAnsi"/>
          <w:b/>
          <w:u w:val="single"/>
        </w:rPr>
      </w:pPr>
    </w:p>
    <w:p w14:paraId="461DB095" w14:textId="77777777" w:rsidR="004460EF" w:rsidRPr="003F282D" w:rsidRDefault="004460EF" w:rsidP="00464C6B">
      <w:pPr>
        <w:spacing w:after="0" w:line="240" w:lineRule="auto"/>
        <w:rPr>
          <w:rFonts w:cstheme="minorHAnsi"/>
          <w:b/>
          <w:u w:val="single"/>
        </w:rPr>
      </w:pPr>
    </w:p>
    <w:p w14:paraId="234DAE3C" w14:textId="02DDE033" w:rsidR="007E587C" w:rsidRPr="003F282D" w:rsidRDefault="007E587C" w:rsidP="00464C6B">
      <w:pPr>
        <w:spacing w:after="0" w:line="240" w:lineRule="auto"/>
        <w:rPr>
          <w:rFonts w:cstheme="minorHAnsi"/>
          <w:b/>
          <w:u w:val="single"/>
        </w:rPr>
      </w:pPr>
      <w:r w:rsidRPr="003F282D">
        <w:rPr>
          <w:rFonts w:cstheme="minorHAnsi"/>
          <w:b/>
          <w:u w:val="single"/>
        </w:rPr>
        <w:t>POLICY ON LATE ASSIGNMENTS</w:t>
      </w:r>
    </w:p>
    <w:p w14:paraId="5D759CB4" w14:textId="76220790" w:rsidR="007E587C" w:rsidRPr="006D472C" w:rsidRDefault="007E587C" w:rsidP="00464C6B">
      <w:pPr>
        <w:spacing w:after="0" w:line="240" w:lineRule="auto"/>
        <w:rPr>
          <w:rFonts w:cstheme="minorHAnsi"/>
          <w:b/>
        </w:rPr>
      </w:pPr>
      <w:r w:rsidRPr="003F282D">
        <w:rPr>
          <w:rFonts w:cstheme="minorHAnsi"/>
        </w:rPr>
        <w:t xml:space="preserve">Late </w:t>
      </w:r>
      <w:r w:rsidRPr="002F25FD">
        <w:rPr>
          <w:rFonts w:cstheme="minorHAnsi"/>
        </w:rPr>
        <w:t xml:space="preserve">assignments will result in a deduction of one grade point (A+ down to A) for each day late (including </w:t>
      </w:r>
      <w:r w:rsidRPr="006D472C">
        <w:rPr>
          <w:rFonts w:cstheme="minorHAnsi"/>
        </w:rPr>
        <w:t>weekends) unless prior approval is obtained from the instructor or a compelling situation prevents prior approval (i.e. documented health issues or family emergencies).</w:t>
      </w:r>
    </w:p>
    <w:p w14:paraId="65E15983" w14:textId="4F87F9D7" w:rsidR="00F82AF0" w:rsidRPr="006D472C" w:rsidRDefault="00F82AF0" w:rsidP="00464C6B">
      <w:pPr>
        <w:spacing w:after="0" w:line="240" w:lineRule="auto"/>
        <w:rPr>
          <w:rFonts w:cstheme="minorHAnsi"/>
        </w:rPr>
      </w:pPr>
    </w:p>
    <w:p w14:paraId="2E8889B8" w14:textId="7F152B10" w:rsidR="006D472C" w:rsidRPr="006D472C" w:rsidRDefault="006D472C" w:rsidP="00464C6B">
      <w:pPr>
        <w:spacing w:after="0" w:line="240" w:lineRule="auto"/>
        <w:rPr>
          <w:rFonts w:cstheme="minorHAnsi"/>
          <w:b/>
          <w:u w:val="single"/>
        </w:rPr>
      </w:pPr>
      <w:r w:rsidRPr="006D472C">
        <w:rPr>
          <w:rFonts w:cstheme="minorHAnsi"/>
          <w:b/>
          <w:u w:val="single"/>
        </w:rPr>
        <w:t>READINGS</w:t>
      </w:r>
    </w:p>
    <w:p w14:paraId="5299F112" w14:textId="3900C1E4" w:rsidR="006D472C" w:rsidRPr="006D472C" w:rsidRDefault="006D472C" w:rsidP="006D472C">
      <w:pPr>
        <w:rPr>
          <w:rFonts w:cstheme="minorHAnsi"/>
        </w:rPr>
      </w:pPr>
      <w:r w:rsidRPr="006D472C">
        <w:rPr>
          <w:rFonts w:cstheme="minorHAnsi"/>
          <w:b/>
        </w:rPr>
        <w:t>The primary text for the course</w:t>
      </w:r>
      <w:r w:rsidRPr="006D472C">
        <w:rPr>
          <w:rFonts w:cstheme="minorHAnsi"/>
        </w:rPr>
        <w:t xml:space="preserve"> is </w:t>
      </w:r>
      <w:r w:rsidRPr="006D472C">
        <w:rPr>
          <w:rFonts w:cstheme="minorHAnsi"/>
          <w:iCs/>
        </w:rPr>
        <w:t>Systematic Reviews in Health Care: Meta-analysis in Context</w:t>
      </w:r>
      <w:r w:rsidRPr="006D472C">
        <w:rPr>
          <w:rFonts w:cstheme="minorHAnsi"/>
        </w:rPr>
        <w:t>, 2</w:t>
      </w:r>
      <w:r w:rsidRPr="006D472C">
        <w:rPr>
          <w:rFonts w:cstheme="minorHAnsi"/>
          <w:vertAlign w:val="superscript"/>
        </w:rPr>
        <w:t>nd</w:t>
      </w:r>
      <w:r w:rsidRPr="006D472C">
        <w:rPr>
          <w:rFonts w:cstheme="minorHAnsi"/>
        </w:rPr>
        <w:t xml:space="preserve"> Edition, </w:t>
      </w:r>
      <w:proofErr w:type="spellStart"/>
      <w:r w:rsidRPr="006D472C">
        <w:rPr>
          <w:rFonts w:cstheme="minorHAnsi"/>
        </w:rPr>
        <w:t>Mattias</w:t>
      </w:r>
      <w:proofErr w:type="spellEnd"/>
      <w:r w:rsidRPr="006D472C">
        <w:rPr>
          <w:rFonts w:cstheme="minorHAnsi"/>
        </w:rPr>
        <w:t xml:space="preserve"> Egger, George Davey Smith, and Douglas Altman, eds., BMJ Books, 2001.  </w:t>
      </w:r>
      <w:r w:rsidRPr="006D472C">
        <w:rPr>
          <w:rFonts w:cstheme="minorHAnsi"/>
          <w:i/>
        </w:rPr>
        <w:t>This book is available in full online from Becker Medical Library.</w:t>
      </w:r>
    </w:p>
    <w:p w14:paraId="76C21960" w14:textId="77777777" w:rsidR="006D472C" w:rsidRPr="006D472C" w:rsidRDefault="006D472C" w:rsidP="006D472C">
      <w:pPr>
        <w:spacing w:after="0"/>
        <w:rPr>
          <w:rFonts w:cstheme="minorHAnsi"/>
        </w:rPr>
      </w:pPr>
      <w:r w:rsidRPr="006D472C">
        <w:rPr>
          <w:rFonts w:cstheme="minorHAnsi"/>
        </w:rPr>
        <w:t xml:space="preserve">Supplemental readings from Introduction to Meta-Analysis, Michael </w:t>
      </w:r>
      <w:proofErr w:type="spellStart"/>
      <w:r w:rsidRPr="006D472C">
        <w:rPr>
          <w:rFonts w:cstheme="minorHAnsi"/>
        </w:rPr>
        <w:t>Borenstein</w:t>
      </w:r>
      <w:proofErr w:type="spellEnd"/>
      <w:r w:rsidRPr="006D472C">
        <w:rPr>
          <w:rFonts w:cstheme="minorHAnsi"/>
        </w:rPr>
        <w:t>, Larry V Hedges, Julian PT Higgins, and Hannah R Rothstein, Wiley, 2009, are also given.  Additional readings are indicated below and will be available through Canvas.</w:t>
      </w:r>
    </w:p>
    <w:p w14:paraId="6A2202B1" w14:textId="77777777" w:rsidR="006D472C" w:rsidRPr="006D472C" w:rsidRDefault="006D472C" w:rsidP="006D472C">
      <w:pPr>
        <w:spacing w:after="0" w:line="240" w:lineRule="auto"/>
        <w:rPr>
          <w:rFonts w:cstheme="minorHAnsi"/>
          <w:b/>
        </w:rPr>
      </w:pPr>
    </w:p>
    <w:p w14:paraId="6B7EE1F0" w14:textId="77777777" w:rsidR="006D472C" w:rsidRPr="006D472C" w:rsidRDefault="006D472C" w:rsidP="006D472C">
      <w:pPr>
        <w:spacing w:after="0"/>
        <w:rPr>
          <w:rFonts w:cstheme="minorHAnsi"/>
        </w:rPr>
      </w:pPr>
      <w:r w:rsidRPr="006D472C">
        <w:rPr>
          <w:rFonts w:cstheme="minorHAnsi"/>
          <w:b/>
        </w:rPr>
        <w:t>Additional Resources</w:t>
      </w:r>
    </w:p>
    <w:p w14:paraId="7DAEAB18" w14:textId="77777777" w:rsidR="006D472C" w:rsidRPr="006D472C" w:rsidRDefault="006D472C" w:rsidP="006D472C">
      <w:pPr>
        <w:spacing w:after="0"/>
        <w:rPr>
          <w:rFonts w:cstheme="minorHAnsi"/>
        </w:rPr>
      </w:pPr>
      <w:r w:rsidRPr="006D472C">
        <w:rPr>
          <w:rFonts w:cstheme="minorHAnsi"/>
        </w:rPr>
        <w:t xml:space="preserve">BMJ methods </w:t>
      </w:r>
      <w:hyperlink r:id="rId11" w:history="1">
        <w:r w:rsidRPr="006D472C">
          <w:rPr>
            <w:rStyle w:val="Hyperlink"/>
            <w:rFonts w:cstheme="minorHAnsi"/>
          </w:rPr>
          <w:t>http://www.bmj.com/search?submit=yes&amp;tocsectionid=Research%20Methods</w:t>
        </w:r>
      </w:hyperlink>
      <w:r w:rsidRPr="006D472C">
        <w:rPr>
          <w:rFonts w:cstheme="minorHAnsi"/>
        </w:rPr>
        <w:t xml:space="preserve"> *</w:t>
      </w:r>
    </w:p>
    <w:p w14:paraId="30E6C21D" w14:textId="77777777" w:rsidR="006D472C" w:rsidRPr="006D472C" w:rsidRDefault="006D472C" w:rsidP="006D472C">
      <w:pPr>
        <w:spacing w:after="0"/>
        <w:rPr>
          <w:rFonts w:cstheme="minorHAnsi"/>
          <w:color w:val="0B3C77"/>
          <w:u w:val="single" w:color="0B3C77"/>
        </w:rPr>
      </w:pPr>
      <w:r w:rsidRPr="006D472C">
        <w:rPr>
          <w:rFonts w:cstheme="minorHAnsi"/>
        </w:rPr>
        <w:lastRenderedPageBreak/>
        <w:t xml:space="preserve">Cochrane library </w:t>
      </w:r>
      <w:hyperlink r:id="rId12" w:history="1">
        <w:r w:rsidRPr="006D472C">
          <w:rPr>
            <w:rStyle w:val="Hyperlink"/>
            <w:rFonts w:cstheme="minorHAnsi"/>
            <w:u w:color="0B3C77"/>
          </w:rPr>
          <w:t>http://www.thecochranelibrary.com/view/0/index.html</w:t>
        </w:r>
      </w:hyperlink>
    </w:p>
    <w:p w14:paraId="7B43522B" w14:textId="4B90853A" w:rsidR="006D472C" w:rsidRPr="006D472C" w:rsidRDefault="006D472C" w:rsidP="006D472C">
      <w:pPr>
        <w:spacing w:after="0"/>
        <w:rPr>
          <w:rFonts w:cstheme="minorHAnsi"/>
        </w:rPr>
      </w:pPr>
      <w:r w:rsidRPr="006D472C">
        <w:rPr>
          <w:rFonts w:cstheme="minorHAnsi"/>
        </w:rPr>
        <w:t xml:space="preserve">Cochrane methods group and handbook </w:t>
      </w:r>
      <w:hyperlink r:id="rId13" w:history="1">
        <w:r w:rsidRPr="00881B7E">
          <w:rPr>
            <w:rStyle w:val="Hyperlink"/>
            <w:rFonts w:cstheme="minorHAnsi"/>
          </w:rPr>
          <w:t>http://handbook.cochrane.org/</w:t>
        </w:r>
      </w:hyperlink>
      <w:r>
        <w:rPr>
          <w:rFonts w:cstheme="minorHAnsi"/>
        </w:rPr>
        <w:t xml:space="preserve"> </w:t>
      </w:r>
    </w:p>
    <w:p w14:paraId="7CEF24D4" w14:textId="77777777" w:rsidR="006D472C" w:rsidRPr="006D472C" w:rsidRDefault="006D472C" w:rsidP="006D472C">
      <w:pPr>
        <w:spacing w:after="0"/>
        <w:rPr>
          <w:rFonts w:cstheme="minorHAnsi"/>
        </w:rPr>
      </w:pPr>
      <w:r w:rsidRPr="006D472C">
        <w:rPr>
          <w:rFonts w:cstheme="minorHAnsi"/>
        </w:rPr>
        <w:t xml:space="preserve">UK NICE (National Institute for Health and Clinical Excellence) </w:t>
      </w:r>
      <w:hyperlink r:id="rId14" w:history="1">
        <w:r w:rsidRPr="006D472C">
          <w:rPr>
            <w:rStyle w:val="Hyperlink"/>
            <w:rFonts w:cstheme="minorHAnsi"/>
          </w:rPr>
          <w:t>http://www.nice.org.uk/</w:t>
        </w:r>
      </w:hyperlink>
    </w:p>
    <w:p w14:paraId="7D64CD00" w14:textId="77777777" w:rsidR="006D472C" w:rsidRPr="006D472C" w:rsidRDefault="006D472C" w:rsidP="006D472C">
      <w:pPr>
        <w:spacing w:after="0"/>
        <w:rPr>
          <w:rFonts w:cstheme="minorHAnsi"/>
        </w:rPr>
      </w:pPr>
      <w:r w:rsidRPr="006D472C">
        <w:rPr>
          <w:rFonts w:cstheme="minorHAnsi"/>
        </w:rPr>
        <w:t xml:space="preserve">Australia Handbook. How to use the evidence. NHMRC. </w:t>
      </w:r>
      <w:hyperlink r:id="rId15" w:history="1">
        <w:r w:rsidRPr="006D472C">
          <w:rPr>
            <w:rStyle w:val="Hyperlink"/>
            <w:rFonts w:cstheme="minorHAnsi"/>
          </w:rPr>
          <w:t>http://www.nhmrc.gov.au/_files_nhmrc/file/publications/synopses/cp69.pdf</w:t>
        </w:r>
      </w:hyperlink>
    </w:p>
    <w:p w14:paraId="1F198019" w14:textId="77777777" w:rsidR="006D472C" w:rsidRPr="006D472C" w:rsidRDefault="006D472C" w:rsidP="006D472C">
      <w:pPr>
        <w:spacing w:after="0"/>
        <w:rPr>
          <w:rFonts w:cstheme="minorHAnsi"/>
          <w:bCs/>
        </w:rPr>
      </w:pPr>
      <w:r w:rsidRPr="006D472C">
        <w:rPr>
          <w:rFonts w:cstheme="minorHAnsi"/>
          <w:bCs/>
        </w:rPr>
        <w:t xml:space="preserve">Berkeley Systematic Reviews Group, </w:t>
      </w:r>
      <w:hyperlink r:id="rId16" w:history="1">
        <w:r w:rsidRPr="006D472C">
          <w:rPr>
            <w:rStyle w:val="Hyperlink"/>
            <w:rFonts w:cstheme="minorHAnsi"/>
            <w:bCs/>
          </w:rPr>
          <w:t>http://www.medepi.net/meta/</w:t>
        </w:r>
      </w:hyperlink>
      <w:r w:rsidRPr="006D472C">
        <w:rPr>
          <w:rFonts w:cstheme="minorHAnsi"/>
          <w:bCs/>
        </w:rPr>
        <w:t xml:space="preserve"> </w:t>
      </w:r>
    </w:p>
    <w:p w14:paraId="226D0884" w14:textId="77777777" w:rsidR="006D472C" w:rsidRPr="006D472C" w:rsidRDefault="006D472C" w:rsidP="006D472C">
      <w:pPr>
        <w:spacing w:after="0"/>
        <w:rPr>
          <w:rFonts w:cstheme="minorHAnsi"/>
        </w:rPr>
      </w:pPr>
      <w:r w:rsidRPr="006D472C">
        <w:rPr>
          <w:rFonts w:cstheme="minorHAnsi"/>
        </w:rPr>
        <w:t>PLOS template for systematic review – meta-analysis article preparation</w:t>
      </w:r>
    </w:p>
    <w:p w14:paraId="4BEC7629" w14:textId="77777777" w:rsidR="006D472C" w:rsidRPr="006D472C" w:rsidRDefault="00893C1E" w:rsidP="006D472C">
      <w:pPr>
        <w:spacing w:after="0"/>
        <w:rPr>
          <w:rStyle w:val="HTMLCite"/>
          <w:rFonts w:cstheme="minorHAnsi"/>
        </w:rPr>
      </w:pPr>
      <w:hyperlink r:id="rId17" w:history="1">
        <w:r w:rsidR="006D472C" w:rsidRPr="006D472C">
          <w:rPr>
            <w:rStyle w:val="Hyperlink"/>
            <w:rFonts w:cstheme="minorHAnsi"/>
          </w:rPr>
          <w:t>www.</w:t>
        </w:r>
        <w:r w:rsidR="006D472C" w:rsidRPr="006D472C">
          <w:rPr>
            <w:rStyle w:val="Hyperlink"/>
            <w:rFonts w:cstheme="minorHAnsi"/>
            <w:b/>
            <w:bCs/>
          </w:rPr>
          <w:t>plos</w:t>
        </w:r>
        <w:r w:rsidR="006D472C" w:rsidRPr="006D472C">
          <w:rPr>
            <w:rStyle w:val="Hyperlink"/>
            <w:rFonts w:cstheme="minorHAnsi"/>
          </w:rPr>
          <w:t>one.org/static/tpl_</w:t>
        </w:r>
        <w:r w:rsidR="006D472C" w:rsidRPr="006D472C">
          <w:rPr>
            <w:rStyle w:val="Hyperlink"/>
            <w:rFonts w:cstheme="minorHAnsi"/>
            <w:b/>
            <w:bCs/>
          </w:rPr>
          <w:t>plos</w:t>
        </w:r>
        <w:r w:rsidR="006D472C" w:rsidRPr="006D472C">
          <w:rPr>
            <w:rStyle w:val="Hyperlink"/>
            <w:rFonts w:cstheme="minorHAnsi"/>
          </w:rPr>
          <w:t>_meta.doc</w:t>
        </w:r>
      </w:hyperlink>
      <w:r w:rsidR="006D472C" w:rsidRPr="006D472C">
        <w:rPr>
          <w:rStyle w:val="HTMLCite"/>
          <w:rFonts w:cstheme="minorHAnsi"/>
          <w:color w:val="666666"/>
        </w:rPr>
        <w:t xml:space="preserve"> </w:t>
      </w:r>
    </w:p>
    <w:p w14:paraId="16845F94" w14:textId="6B8514E1" w:rsidR="006D472C" w:rsidRDefault="006D472C" w:rsidP="00464C6B">
      <w:pPr>
        <w:spacing w:after="0" w:line="240" w:lineRule="auto"/>
        <w:rPr>
          <w:rFonts w:cstheme="minorHAnsi"/>
          <w:b/>
          <w:u w:val="single"/>
        </w:rPr>
      </w:pPr>
    </w:p>
    <w:p w14:paraId="254F4D74" w14:textId="39809FEF" w:rsidR="007E587C" w:rsidRPr="006D472C" w:rsidRDefault="007E587C" w:rsidP="00464C6B">
      <w:pPr>
        <w:spacing w:after="0" w:line="240" w:lineRule="auto"/>
        <w:rPr>
          <w:rFonts w:cstheme="minorHAnsi"/>
          <w:b/>
          <w:u w:val="single"/>
        </w:rPr>
      </w:pPr>
      <w:r w:rsidRPr="006D472C">
        <w:rPr>
          <w:rFonts w:cstheme="minorHAnsi"/>
          <w:b/>
          <w:u w:val="single"/>
        </w:rPr>
        <w:t>ASSIGNMENTS &amp; DUE DATES</w:t>
      </w:r>
    </w:p>
    <w:p w14:paraId="5B6C53AA" w14:textId="77777777" w:rsidR="002F25FD" w:rsidRPr="002F25FD" w:rsidRDefault="002F25FD" w:rsidP="002F25FD">
      <w:pPr>
        <w:spacing w:after="0" w:line="240" w:lineRule="auto"/>
        <w:contextualSpacing/>
        <w:rPr>
          <w:rFonts w:cstheme="minorHAnsi"/>
          <w:i/>
        </w:rPr>
      </w:pPr>
      <w:r w:rsidRPr="002F25FD">
        <w:rPr>
          <w:rFonts w:cstheme="minorHAnsi"/>
          <w:i/>
        </w:rPr>
        <w:t>Details of all assignments can be found on Canvas</w:t>
      </w:r>
    </w:p>
    <w:p w14:paraId="65D2975E" w14:textId="74B0163B" w:rsidR="002F25FD" w:rsidRPr="002F25FD" w:rsidRDefault="002F25FD" w:rsidP="002F25FD">
      <w:pPr>
        <w:pStyle w:val="ListParagraph"/>
        <w:numPr>
          <w:ilvl w:val="0"/>
          <w:numId w:val="21"/>
        </w:numPr>
        <w:spacing w:after="0" w:line="240" w:lineRule="auto"/>
        <w:rPr>
          <w:rFonts w:cstheme="minorHAnsi"/>
          <w:b/>
        </w:rPr>
      </w:pPr>
      <w:r w:rsidRPr="002F25FD">
        <w:rPr>
          <w:rFonts w:cstheme="minorHAnsi"/>
          <w:b/>
        </w:rPr>
        <w:t xml:space="preserve">HW 1: </w:t>
      </w:r>
      <w:r>
        <w:rPr>
          <w:rFonts w:cstheme="minorHAnsi"/>
          <w:b/>
        </w:rPr>
        <w:t>Preliminary topic</w:t>
      </w:r>
    </w:p>
    <w:p w14:paraId="5B05DF97" w14:textId="35E1F112" w:rsidR="002F25FD" w:rsidRPr="002F25FD" w:rsidRDefault="002F25FD" w:rsidP="002F25FD">
      <w:pPr>
        <w:pStyle w:val="ListParagraph"/>
        <w:spacing w:after="0" w:line="240" w:lineRule="auto"/>
        <w:rPr>
          <w:rFonts w:cstheme="minorHAnsi"/>
        </w:rPr>
      </w:pPr>
      <w:r w:rsidRPr="002F25FD">
        <w:rPr>
          <w:rFonts w:cstheme="minorHAnsi"/>
        </w:rPr>
        <w:t xml:space="preserve">Presented in class on </w:t>
      </w:r>
      <w:r>
        <w:rPr>
          <w:rFonts w:cstheme="minorHAnsi"/>
        </w:rPr>
        <w:t>Jan 31</w:t>
      </w:r>
    </w:p>
    <w:p w14:paraId="0B5F9A05" w14:textId="7E5B7624" w:rsidR="002F25FD" w:rsidRPr="002F25FD" w:rsidRDefault="002F25FD" w:rsidP="002F25FD">
      <w:pPr>
        <w:pStyle w:val="ListParagraph"/>
        <w:spacing w:after="0" w:line="240" w:lineRule="auto"/>
        <w:rPr>
          <w:rFonts w:cstheme="minorHAnsi"/>
        </w:rPr>
      </w:pPr>
      <w:r w:rsidRPr="002F25FD">
        <w:rPr>
          <w:rFonts w:cstheme="minorHAnsi"/>
        </w:rPr>
        <w:t xml:space="preserve">Slides are due via Canvas by </w:t>
      </w:r>
      <w:r>
        <w:rPr>
          <w:rFonts w:cstheme="minorHAnsi"/>
        </w:rPr>
        <w:t>January 29</w:t>
      </w:r>
      <w:r w:rsidRPr="002F25FD">
        <w:rPr>
          <w:rFonts w:cstheme="minorHAnsi"/>
        </w:rPr>
        <w:t xml:space="preserve"> at 11:59 pm</w:t>
      </w:r>
    </w:p>
    <w:p w14:paraId="6DA47673" w14:textId="77777777" w:rsidR="002F25FD" w:rsidRPr="002F25FD" w:rsidRDefault="002F25FD" w:rsidP="002F25FD">
      <w:pPr>
        <w:pStyle w:val="ListParagraph"/>
        <w:numPr>
          <w:ilvl w:val="0"/>
          <w:numId w:val="21"/>
        </w:numPr>
        <w:spacing w:after="0" w:line="240" w:lineRule="auto"/>
        <w:rPr>
          <w:rFonts w:cstheme="minorHAnsi"/>
          <w:b/>
        </w:rPr>
      </w:pPr>
      <w:r w:rsidRPr="002F25FD">
        <w:rPr>
          <w:rFonts w:cstheme="minorHAnsi"/>
          <w:b/>
        </w:rPr>
        <w:t>HW 2: Library assignment</w:t>
      </w:r>
    </w:p>
    <w:p w14:paraId="5961024D" w14:textId="6F78CC82" w:rsidR="002F25FD" w:rsidRPr="002F25FD" w:rsidRDefault="002F25FD" w:rsidP="002F25FD">
      <w:pPr>
        <w:pStyle w:val="ListParagraph"/>
        <w:spacing w:after="0" w:line="240" w:lineRule="auto"/>
        <w:rPr>
          <w:rFonts w:cstheme="minorHAnsi"/>
        </w:rPr>
      </w:pPr>
      <w:r w:rsidRPr="002F25FD">
        <w:rPr>
          <w:rFonts w:cstheme="minorHAnsi"/>
        </w:rPr>
        <w:t xml:space="preserve">Due February </w:t>
      </w:r>
      <w:r>
        <w:rPr>
          <w:rFonts w:cstheme="minorHAnsi"/>
        </w:rPr>
        <w:t>7</w:t>
      </w:r>
      <w:r w:rsidRPr="002F25FD">
        <w:rPr>
          <w:rFonts w:cstheme="minorHAnsi"/>
        </w:rPr>
        <w:t xml:space="preserve"> by 11:59 pm, submit via Canvas AND email to</w:t>
      </w:r>
      <w:r w:rsidRPr="002F25FD">
        <w:rPr>
          <w:rStyle w:val="Hyperlink"/>
          <w:rFonts w:cstheme="minorHAnsi"/>
        </w:rPr>
        <w:t xml:space="preserve"> dathomas@wustl.edu</w:t>
      </w:r>
    </w:p>
    <w:p w14:paraId="79A22CCB" w14:textId="77777777" w:rsidR="002F25FD" w:rsidRPr="002F25FD" w:rsidRDefault="002F25FD" w:rsidP="002F25FD">
      <w:pPr>
        <w:pStyle w:val="ListParagraph"/>
        <w:numPr>
          <w:ilvl w:val="0"/>
          <w:numId w:val="21"/>
        </w:numPr>
        <w:spacing w:after="0" w:line="240" w:lineRule="auto"/>
        <w:rPr>
          <w:rFonts w:cstheme="minorHAnsi"/>
          <w:b/>
        </w:rPr>
      </w:pPr>
      <w:r w:rsidRPr="002F25FD">
        <w:rPr>
          <w:rFonts w:cstheme="minorHAnsi"/>
          <w:b/>
        </w:rPr>
        <w:t>HW 3: Analysis in STATA</w:t>
      </w:r>
    </w:p>
    <w:p w14:paraId="5D9D6C5E" w14:textId="2D672DC0" w:rsidR="002F25FD" w:rsidRPr="002F25FD" w:rsidRDefault="002F25FD" w:rsidP="002F25FD">
      <w:pPr>
        <w:pStyle w:val="ListParagraph"/>
        <w:spacing w:after="0" w:line="240" w:lineRule="auto"/>
        <w:rPr>
          <w:rFonts w:cstheme="minorHAnsi"/>
        </w:rPr>
      </w:pPr>
      <w:r w:rsidRPr="002F25FD">
        <w:rPr>
          <w:rFonts w:cstheme="minorHAnsi"/>
        </w:rPr>
        <w:t xml:space="preserve">Due March </w:t>
      </w:r>
      <w:r>
        <w:rPr>
          <w:rFonts w:cstheme="minorHAnsi"/>
        </w:rPr>
        <w:t>6</w:t>
      </w:r>
      <w:r w:rsidRPr="002F25FD">
        <w:rPr>
          <w:rFonts w:cstheme="minorHAnsi"/>
        </w:rPr>
        <w:t xml:space="preserve"> by 11:59 pm, submit via Canvas.</w:t>
      </w:r>
    </w:p>
    <w:p w14:paraId="7B533F77" w14:textId="77777777" w:rsidR="002F25FD" w:rsidRPr="002F25FD" w:rsidRDefault="002F25FD" w:rsidP="002F25FD">
      <w:pPr>
        <w:pStyle w:val="ListParagraph"/>
        <w:numPr>
          <w:ilvl w:val="0"/>
          <w:numId w:val="21"/>
        </w:numPr>
        <w:spacing w:after="0" w:line="240" w:lineRule="auto"/>
        <w:rPr>
          <w:rFonts w:cstheme="minorHAnsi"/>
          <w:b/>
        </w:rPr>
      </w:pPr>
      <w:r w:rsidRPr="002F25FD">
        <w:rPr>
          <w:rFonts w:cstheme="minorHAnsi"/>
          <w:b/>
        </w:rPr>
        <w:t>HW 4: Data extraction form</w:t>
      </w:r>
    </w:p>
    <w:p w14:paraId="2A17B199" w14:textId="77777777" w:rsidR="002F25FD" w:rsidRDefault="002F25FD" w:rsidP="002F25FD">
      <w:pPr>
        <w:pStyle w:val="ListParagraph"/>
        <w:spacing w:after="0" w:line="240" w:lineRule="auto"/>
        <w:rPr>
          <w:rFonts w:cstheme="minorHAnsi"/>
        </w:rPr>
      </w:pPr>
      <w:r w:rsidRPr="002F25FD">
        <w:rPr>
          <w:rFonts w:cstheme="minorHAnsi"/>
        </w:rPr>
        <w:t>Presented in class on March 2</w:t>
      </w:r>
      <w:r>
        <w:rPr>
          <w:rFonts w:cstheme="minorHAnsi"/>
        </w:rPr>
        <w:t>0</w:t>
      </w:r>
    </w:p>
    <w:p w14:paraId="53E26B3D" w14:textId="7C3B1E00" w:rsidR="002F25FD" w:rsidRPr="002F25FD" w:rsidRDefault="002F25FD" w:rsidP="002F25FD">
      <w:pPr>
        <w:pStyle w:val="ListParagraph"/>
        <w:spacing w:after="0" w:line="240" w:lineRule="auto"/>
        <w:rPr>
          <w:rFonts w:cstheme="minorHAnsi"/>
        </w:rPr>
      </w:pPr>
      <w:r w:rsidRPr="002F25FD">
        <w:rPr>
          <w:rFonts w:cstheme="minorHAnsi"/>
        </w:rPr>
        <w:t xml:space="preserve">Slides due via Canvas by March </w:t>
      </w:r>
      <w:r>
        <w:rPr>
          <w:rFonts w:cstheme="minorHAnsi"/>
        </w:rPr>
        <w:t>18</w:t>
      </w:r>
      <w:r w:rsidRPr="002F25FD">
        <w:rPr>
          <w:rFonts w:cstheme="minorHAnsi"/>
        </w:rPr>
        <w:t xml:space="preserve"> at 11:59 pm.</w:t>
      </w:r>
    </w:p>
    <w:p w14:paraId="3038F401" w14:textId="77777777" w:rsidR="002F25FD" w:rsidRPr="002F25FD" w:rsidRDefault="002F25FD" w:rsidP="002F25FD">
      <w:pPr>
        <w:pStyle w:val="ListParagraph"/>
        <w:numPr>
          <w:ilvl w:val="0"/>
          <w:numId w:val="21"/>
        </w:numPr>
        <w:spacing w:after="0" w:line="240" w:lineRule="auto"/>
        <w:rPr>
          <w:rFonts w:cstheme="minorHAnsi"/>
          <w:b/>
        </w:rPr>
      </w:pPr>
      <w:r w:rsidRPr="002F25FD">
        <w:rPr>
          <w:rFonts w:cstheme="minorHAnsi"/>
          <w:b/>
        </w:rPr>
        <w:t>Final Presentation</w:t>
      </w:r>
    </w:p>
    <w:p w14:paraId="13F592F9" w14:textId="50F02E11" w:rsidR="002F25FD" w:rsidRPr="002F25FD" w:rsidRDefault="002F25FD" w:rsidP="002F25FD">
      <w:pPr>
        <w:pStyle w:val="ListParagraph"/>
        <w:spacing w:after="0" w:line="240" w:lineRule="auto"/>
        <w:rPr>
          <w:rFonts w:cstheme="minorHAnsi"/>
        </w:rPr>
      </w:pPr>
      <w:r w:rsidRPr="002F25FD">
        <w:rPr>
          <w:rFonts w:cstheme="minorHAnsi"/>
        </w:rPr>
        <w:t>In class on April 2</w:t>
      </w:r>
      <w:r>
        <w:rPr>
          <w:rFonts w:cstheme="minorHAnsi"/>
        </w:rPr>
        <w:t>4</w:t>
      </w:r>
      <w:r w:rsidRPr="002F25FD">
        <w:rPr>
          <w:rFonts w:cstheme="minorHAnsi"/>
        </w:rPr>
        <w:t xml:space="preserve"> and May </w:t>
      </w:r>
      <w:r>
        <w:rPr>
          <w:rFonts w:cstheme="minorHAnsi"/>
        </w:rPr>
        <w:t>1</w:t>
      </w:r>
      <w:r w:rsidRPr="002F25FD">
        <w:rPr>
          <w:rFonts w:cstheme="minorHAnsi"/>
        </w:rPr>
        <w:t>. Students will sign up for a date in February.</w:t>
      </w:r>
    </w:p>
    <w:p w14:paraId="4F140E4F" w14:textId="3C8EEE43" w:rsidR="002F25FD" w:rsidRPr="002F25FD" w:rsidRDefault="002F25FD" w:rsidP="002F25FD">
      <w:pPr>
        <w:pStyle w:val="ListParagraph"/>
        <w:spacing w:after="0" w:line="240" w:lineRule="auto"/>
        <w:rPr>
          <w:rFonts w:cstheme="minorHAnsi"/>
        </w:rPr>
      </w:pPr>
      <w:r w:rsidRPr="002F25FD">
        <w:rPr>
          <w:rFonts w:cstheme="minorHAnsi"/>
        </w:rPr>
        <w:t>Presentation slides are due April 2</w:t>
      </w:r>
      <w:r>
        <w:rPr>
          <w:rFonts w:cstheme="minorHAnsi"/>
        </w:rPr>
        <w:t>2</w:t>
      </w:r>
      <w:r w:rsidRPr="002F25FD">
        <w:rPr>
          <w:rFonts w:cstheme="minorHAnsi"/>
        </w:rPr>
        <w:t xml:space="preserve"> and </w:t>
      </w:r>
      <w:r>
        <w:rPr>
          <w:rFonts w:cstheme="minorHAnsi"/>
        </w:rPr>
        <w:t>April 29</w:t>
      </w:r>
      <w:r w:rsidRPr="002F25FD">
        <w:rPr>
          <w:rFonts w:cstheme="minorHAnsi"/>
        </w:rPr>
        <w:t xml:space="preserve"> by 11:59 pm, respectively, via Canvas. </w:t>
      </w:r>
    </w:p>
    <w:p w14:paraId="4F75BAD9" w14:textId="77777777" w:rsidR="002F25FD" w:rsidRPr="002F25FD" w:rsidRDefault="002F25FD" w:rsidP="002F25FD">
      <w:pPr>
        <w:pStyle w:val="ListParagraph"/>
        <w:numPr>
          <w:ilvl w:val="0"/>
          <w:numId w:val="21"/>
        </w:numPr>
        <w:spacing w:after="0" w:line="240" w:lineRule="auto"/>
        <w:rPr>
          <w:rFonts w:cstheme="minorHAnsi"/>
          <w:b/>
        </w:rPr>
      </w:pPr>
      <w:r w:rsidRPr="002F25FD">
        <w:rPr>
          <w:rFonts w:cstheme="minorHAnsi"/>
          <w:b/>
        </w:rPr>
        <w:t>Final Paper</w:t>
      </w:r>
    </w:p>
    <w:p w14:paraId="728E01FA" w14:textId="79C4440E" w:rsidR="002F25FD" w:rsidRPr="002F25FD" w:rsidRDefault="002F25FD" w:rsidP="002F25FD">
      <w:pPr>
        <w:pStyle w:val="ListParagraph"/>
        <w:spacing w:after="0" w:line="240" w:lineRule="auto"/>
        <w:rPr>
          <w:rFonts w:cstheme="minorHAnsi"/>
        </w:rPr>
      </w:pPr>
      <w:r w:rsidRPr="002F25FD">
        <w:rPr>
          <w:rFonts w:cstheme="minorHAnsi"/>
        </w:rPr>
        <w:t xml:space="preserve">Due May </w:t>
      </w:r>
      <w:r>
        <w:rPr>
          <w:rFonts w:cstheme="minorHAnsi"/>
        </w:rPr>
        <w:t>3</w:t>
      </w:r>
      <w:r w:rsidRPr="002F25FD">
        <w:rPr>
          <w:rFonts w:cstheme="minorHAnsi"/>
        </w:rPr>
        <w:t xml:space="preserve"> by 11:59 pm via </w:t>
      </w:r>
      <w:proofErr w:type="gramStart"/>
      <w:r w:rsidRPr="002F25FD">
        <w:rPr>
          <w:rFonts w:cstheme="minorHAnsi"/>
        </w:rPr>
        <w:t>Canvas.</w:t>
      </w:r>
      <w:proofErr w:type="gramEnd"/>
      <w:r w:rsidRPr="002F25FD">
        <w:rPr>
          <w:rFonts w:cstheme="minorHAnsi"/>
        </w:rPr>
        <w:t xml:space="preserve"> </w:t>
      </w:r>
    </w:p>
    <w:p w14:paraId="3AC2BA28" w14:textId="77777777" w:rsidR="002F25FD" w:rsidRPr="002F25FD" w:rsidRDefault="002F25FD" w:rsidP="00464C6B">
      <w:pPr>
        <w:spacing w:after="0" w:line="240" w:lineRule="auto"/>
        <w:rPr>
          <w:rFonts w:cstheme="minorHAnsi"/>
          <w:b/>
          <w:u w:val="single"/>
        </w:rPr>
      </w:pPr>
    </w:p>
    <w:p w14:paraId="7BE7DC7F" w14:textId="77777777" w:rsidR="0030515E" w:rsidRPr="002F25FD" w:rsidRDefault="0030515E" w:rsidP="00464C6B">
      <w:pPr>
        <w:spacing w:after="0" w:line="240" w:lineRule="auto"/>
        <w:jc w:val="center"/>
        <w:rPr>
          <w:rFonts w:cstheme="minorHAnsi"/>
          <w:b/>
        </w:rPr>
      </w:pPr>
    </w:p>
    <w:tbl>
      <w:tblPr>
        <w:tblW w:w="9936" w:type="dxa"/>
        <w:tblLook w:val="04A0" w:firstRow="1" w:lastRow="0" w:firstColumn="1" w:lastColumn="0" w:noHBand="0" w:noVBand="1"/>
      </w:tblPr>
      <w:tblGrid>
        <w:gridCol w:w="713"/>
        <w:gridCol w:w="759"/>
        <w:gridCol w:w="1559"/>
        <w:gridCol w:w="1365"/>
        <w:gridCol w:w="5540"/>
      </w:tblGrid>
      <w:tr w:rsidR="004F68DA" w:rsidRPr="008D6368" w14:paraId="1BB02722" w14:textId="7767E961" w:rsidTr="00557CE3">
        <w:trPr>
          <w:trHeight w:val="690"/>
        </w:trPr>
        <w:tc>
          <w:tcPr>
            <w:tcW w:w="741" w:type="dxa"/>
            <w:tcBorders>
              <w:top w:val="single" w:sz="12" w:space="0" w:color="000000"/>
              <w:bottom w:val="single" w:sz="12" w:space="0" w:color="000000"/>
            </w:tcBorders>
            <w:vAlign w:val="center"/>
          </w:tcPr>
          <w:p w14:paraId="4B954407" w14:textId="77777777" w:rsidR="004F68DA" w:rsidRPr="008D6368" w:rsidRDefault="004F68DA" w:rsidP="008D6368">
            <w:pPr>
              <w:spacing w:after="0" w:line="240" w:lineRule="auto"/>
              <w:contextualSpacing/>
              <w:jc w:val="center"/>
              <w:rPr>
                <w:rFonts w:cstheme="minorHAnsi"/>
                <w:b/>
                <w:sz w:val="20"/>
                <w:szCs w:val="20"/>
              </w:rPr>
            </w:pPr>
            <w:r w:rsidRPr="008D6368">
              <w:rPr>
                <w:rFonts w:cstheme="minorHAnsi"/>
                <w:b/>
                <w:sz w:val="20"/>
                <w:szCs w:val="20"/>
              </w:rPr>
              <w:t>Week</w:t>
            </w:r>
          </w:p>
        </w:tc>
        <w:tc>
          <w:tcPr>
            <w:tcW w:w="785" w:type="dxa"/>
            <w:tcBorders>
              <w:top w:val="single" w:sz="12" w:space="0" w:color="000000"/>
              <w:bottom w:val="single" w:sz="12" w:space="0" w:color="000000"/>
            </w:tcBorders>
          </w:tcPr>
          <w:p w14:paraId="385F997C" w14:textId="77777777" w:rsidR="004F68DA" w:rsidRPr="008D6368" w:rsidRDefault="004F68DA" w:rsidP="008D6368">
            <w:pPr>
              <w:spacing w:before="240" w:after="0" w:line="240" w:lineRule="auto"/>
              <w:contextualSpacing/>
              <w:jc w:val="center"/>
              <w:rPr>
                <w:rFonts w:cstheme="minorHAnsi"/>
                <w:b/>
                <w:sz w:val="20"/>
                <w:szCs w:val="20"/>
              </w:rPr>
            </w:pPr>
            <w:r w:rsidRPr="008D6368">
              <w:rPr>
                <w:rFonts w:cstheme="minorHAnsi"/>
                <w:b/>
                <w:sz w:val="20"/>
                <w:szCs w:val="20"/>
              </w:rPr>
              <w:t>Date</w:t>
            </w:r>
          </w:p>
        </w:tc>
        <w:tc>
          <w:tcPr>
            <w:tcW w:w="1559" w:type="dxa"/>
            <w:tcBorders>
              <w:top w:val="single" w:sz="12" w:space="0" w:color="000000"/>
              <w:bottom w:val="single" w:sz="12" w:space="0" w:color="000000"/>
            </w:tcBorders>
            <w:vAlign w:val="center"/>
          </w:tcPr>
          <w:p w14:paraId="468FF4D3" w14:textId="77777777" w:rsidR="004F68DA" w:rsidRPr="008D6368" w:rsidRDefault="004F68DA" w:rsidP="008D6368">
            <w:pPr>
              <w:spacing w:after="0" w:line="240" w:lineRule="auto"/>
              <w:contextualSpacing/>
              <w:jc w:val="center"/>
              <w:rPr>
                <w:rFonts w:cstheme="minorHAnsi"/>
                <w:b/>
                <w:sz w:val="20"/>
                <w:szCs w:val="20"/>
              </w:rPr>
            </w:pPr>
            <w:r w:rsidRPr="008D6368">
              <w:rPr>
                <w:rFonts w:cstheme="minorHAnsi"/>
                <w:b/>
                <w:sz w:val="20"/>
                <w:szCs w:val="20"/>
              </w:rPr>
              <w:t>Topic</w:t>
            </w:r>
          </w:p>
        </w:tc>
        <w:tc>
          <w:tcPr>
            <w:tcW w:w="785" w:type="dxa"/>
            <w:tcBorders>
              <w:top w:val="single" w:sz="12" w:space="0" w:color="000000"/>
              <w:bottom w:val="single" w:sz="12" w:space="0" w:color="000000"/>
            </w:tcBorders>
          </w:tcPr>
          <w:p w14:paraId="3A815085" w14:textId="6A7CF120" w:rsidR="00375C64" w:rsidRPr="008D6368" w:rsidRDefault="004F68DA" w:rsidP="008D6368">
            <w:pPr>
              <w:spacing w:after="0" w:line="240" w:lineRule="auto"/>
              <w:contextualSpacing/>
              <w:jc w:val="center"/>
              <w:rPr>
                <w:rFonts w:cstheme="minorHAnsi"/>
                <w:b/>
                <w:sz w:val="20"/>
                <w:szCs w:val="20"/>
              </w:rPr>
            </w:pPr>
            <w:r w:rsidRPr="008D6368">
              <w:rPr>
                <w:rFonts w:cstheme="minorHAnsi"/>
                <w:b/>
                <w:sz w:val="20"/>
                <w:szCs w:val="20"/>
              </w:rPr>
              <w:t>Assignment</w:t>
            </w:r>
          </w:p>
          <w:p w14:paraId="431072D4" w14:textId="0DFAD2FD" w:rsidR="004F68DA" w:rsidRPr="008D6368" w:rsidRDefault="004F68DA" w:rsidP="008D6368">
            <w:pPr>
              <w:spacing w:after="0" w:line="240" w:lineRule="auto"/>
              <w:contextualSpacing/>
              <w:jc w:val="center"/>
              <w:rPr>
                <w:rFonts w:cstheme="minorHAnsi"/>
                <w:b/>
                <w:sz w:val="20"/>
                <w:szCs w:val="20"/>
              </w:rPr>
            </w:pPr>
            <w:r w:rsidRPr="008D6368">
              <w:rPr>
                <w:rFonts w:cstheme="minorHAnsi"/>
                <w:b/>
                <w:sz w:val="20"/>
                <w:szCs w:val="20"/>
              </w:rPr>
              <w:t>Due</w:t>
            </w:r>
          </w:p>
        </w:tc>
        <w:tc>
          <w:tcPr>
            <w:tcW w:w="6066" w:type="dxa"/>
            <w:tcBorders>
              <w:top w:val="single" w:sz="12" w:space="0" w:color="000000"/>
              <w:bottom w:val="single" w:sz="12" w:space="0" w:color="000000"/>
            </w:tcBorders>
          </w:tcPr>
          <w:p w14:paraId="68711E2E" w14:textId="3F15D16F" w:rsidR="004F68DA" w:rsidRPr="008D6368" w:rsidRDefault="004F68DA" w:rsidP="008D6368">
            <w:pPr>
              <w:spacing w:before="240" w:after="0" w:line="240" w:lineRule="auto"/>
              <w:contextualSpacing/>
              <w:jc w:val="center"/>
              <w:rPr>
                <w:rFonts w:cstheme="minorHAnsi"/>
                <w:b/>
                <w:sz w:val="20"/>
                <w:szCs w:val="20"/>
              </w:rPr>
            </w:pPr>
            <w:r w:rsidRPr="008D6368">
              <w:rPr>
                <w:rFonts w:cstheme="minorHAnsi"/>
                <w:b/>
                <w:sz w:val="20"/>
                <w:szCs w:val="20"/>
              </w:rPr>
              <w:t>Readings</w:t>
            </w:r>
          </w:p>
        </w:tc>
      </w:tr>
      <w:tr w:rsidR="004F68DA" w:rsidRPr="008D6368" w14:paraId="52F7CA6B" w14:textId="569FB2EF" w:rsidTr="00557CE3">
        <w:trPr>
          <w:trHeight w:val="1410"/>
        </w:trPr>
        <w:tc>
          <w:tcPr>
            <w:tcW w:w="741" w:type="dxa"/>
            <w:tcBorders>
              <w:top w:val="single" w:sz="12" w:space="0" w:color="000000"/>
              <w:bottom w:val="single" w:sz="2" w:space="0" w:color="000000"/>
            </w:tcBorders>
          </w:tcPr>
          <w:p w14:paraId="4FDA0D15" w14:textId="77777777" w:rsidR="004F68DA" w:rsidRPr="008D6368" w:rsidRDefault="004F68DA" w:rsidP="00557CE3">
            <w:pPr>
              <w:spacing w:after="0" w:line="240" w:lineRule="auto"/>
              <w:contextualSpacing/>
              <w:rPr>
                <w:rFonts w:cstheme="minorHAnsi"/>
                <w:b/>
                <w:sz w:val="20"/>
                <w:szCs w:val="20"/>
              </w:rPr>
            </w:pPr>
            <w:r w:rsidRPr="008D6368">
              <w:rPr>
                <w:rFonts w:cstheme="minorHAnsi"/>
                <w:b/>
                <w:sz w:val="20"/>
                <w:szCs w:val="20"/>
              </w:rPr>
              <w:t>Class 1</w:t>
            </w:r>
          </w:p>
        </w:tc>
        <w:tc>
          <w:tcPr>
            <w:tcW w:w="785" w:type="dxa"/>
            <w:tcBorders>
              <w:top w:val="single" w:sz="12" w:space="0" w:color="000000"/>
              <w:bottom w:val="single" w:sz="2" w:space="0" w:color="000000"/>
            </w:tcBorders>
          </w:tcPr>
          <w:p w14:paraId="7B34AE46" w14:textId="5CB50028" w:rsidR="004F68DA" w:rsidRPr="008D6368" w:rsidRDefault="0043650C" w:rsidP="00557CE3">
            <w:pPr>
              <w:spacing w:after="0" w:line="240" w:lineRule="auto"/>
              <w:contextualSpacing/>
              <w:rPr>
                <w:rFonts w:cstheme="minorHAnsi"/>
                <w:sz w:val="20"/>
                <w:szCs w:val="20"/>
              </w:rPr>
            </w:pPr>
            <w:r w:rsidRPr="008D6368">
              <w:rPr>
                <w:rFonts w:cstheme="minorHAnsi"/>
                <w:sz w:val="20"/>
                <w:szCs w:val="20"/>
              </w:rPr>
              <w:t>Jan</w:t>
            </w:r>
            <w:r w:rsidR="004F68DA" w:rsidRPr="008D6368">
              <w:rPr>
                <w:rFonts w:cstheme="minorHAnsi"/>
                <w:sz w:val="20"/>
                <w:szCs w:val="20"/>
              </w:rPr>
              <w:t xml:space="preserve"> </w:t>
            </w:r>
            <w:r w:rsidRPr="008D6368">
              <w:rPr>
                <w:rFonts w:cstheme="minorHAnsi"/>
                <w:sz w:val="20"/>
                <w:szCs w:val="20"/>
              </w:rPr>
              <w:t>17</w:t>
            </w:r>
            <w:r w:rsidR="004F68DA" w:rsidRPr="008D6368">
              <w:rPr>
                <w:rFonts w:cstheme="minorHAnsi"/>
                <w:sz w:val="20"/>
                <w:szCs w:val="20"/>
              </w:rPr>
              <w:t xml:space="preserve"> </w:t>
            </w:r>
          </w:p>
          <w:p w14:paraId="0E77F13B" w14:textId="6BED9184" w:rsidR="004F68DA" w:rsidRPr="008D6368" w:rsidRDefault="004F68DA" w:rsidP="00557CE3">
            <w:pPr>
              <w:spacing w:after="0" w:line="240" w:lineRule="auto"/>
              <w:contextualSpacing/>
              <w:rPr>
                <w:rFonts w:cstheme="minorHAnsi"/>
                <w:sz w:val="20"/>
                <w:szCs w:val="20"/>
              </w:rPr>
            </w:pPr>
          </w:p>
        </w:tc>
        <w:tc>
          <w:tcPr>
            <w:tcW w:w="1559" w:type="dxa"/>
            <w:tcBorders>
              <w:top w:val="single" w:sz="12" w:space="0" w:color="000000"/>
              <w:bottom w:val="single" w:sz="2" w:space="0" w:color="000000"/>
            </w:tcBorders>
          </w:tcPr>
          <w:p w14:paraId="71B54A7E" w14:textId="3872C457" w:rsidR="004F68DA" w:rsidRPr="008D6368" w:rsidRDefault="0043650C" w:rsidP="00557CE3">
            <w:pPr>
              <w:spacing w:after="0" w:line="240" w:lineRule="auto"/>
              <w:contextualSpacing/>
              <w:rPr>
                <w:rFonts w:cstheme="minorHAnsi"/>
                <w:sz w:val="20"/>
                <w:szCs w:val="20"/>
              </w:rPr>
            </w:pPr>
            <w:r w:rsidRPr="008D6368">
              <w:rPr>
                <w:rFonts w:cstheme="minorHAnsi"/>
                <w:sz w:val="20"/>
                <w:szCs w:val="20"/>
              </w:rPr>
              <w:t>Introduction</w:t>
            </w:r>
          </w:p>
        </w:tc>
        <w:tc>
          <w:tcPr>
            <w:tcW w:w="785" w:type="dxa"/>
            <w:tcBorders>
              <w:top w:val="single" w:sz="12" w:space="0" w:color="000000"/>
              <w:bottom w:val="single" w:sz="2" w:space="0" w:color="000000"/>
            </w:tcBorders>
          </w:tcPr>
          <w:p w14:paraId="752C7CBE" w14:textId="77777777" w:rsidR="004F68DA" w:rsidRPr="008D6368" w:rsidRDefault="004F68DA" w:rsidP="008D6368">
            <w:pPr>
              <w:spacing w:after="0" w:line="240" w:lineRule="auto"/>
              <w:contextualSpacing/>
              <w:rPr>
                <w:rFonts w:cstheme="minorHAnsi"/>
                <w:sz w:val="20"/>
                <w:szCs w:val="20"/>
              </w:rPr>
            </w:pPr>
          </w:p>
        </w:tc>
        <w:tc>
          <w:tcPr>
            <w:tcW w:w="6066" w:type="dxa"/>
            <w:tcBorders>
              <w:top w:val="single" w:sz="12" w:space="0" w:color="000000"/>
              <w:bottom w:val="single" w:sz="2" w:space="0" w:color="000000"/>
            </w:tcBorders>
          </w:tcPr>
          <w:p w14:paraId="0303CCC3" w14:textId="77777777" w:rsidR="00F17760" w:rsidRPr="008D6368" w:rsidRDefault="00F17760" w:rsidP="008D6368">
            <w:pPr>
              <w:spacing w:line="240" w:lineRule="auto"/>
              <w:contextualSpacing/>
              <w:rPr>
                <w:rFonts w:cstheme="minorHAnsi"/>
                <w:sz w:val="20"/>
                <w:szCs w:val="20"/>
              </w:rPr>
            </w:pPr>
            <w:r w:rsidRPr="008D6368">
              <w:rPr>
                <w:rFonts w:cstheme="minorHAnsi"/>
                <w:sz w:val="20"/>
                <w:szCs w:val="20"/>
              </w:rPr>
              <w:t>Systematic Reviews in Health Care: Meta-analysis in Context, 2</w:t>
            </w:r>
            <w:r w:rsidRPr="008D6368">
              <w:rPr>
                <w:rFonts w:cstheme="minorHAnsi"/>
                <w:sz w:val="20"/>
                <w:szCs w:val="20"/>
                <w:vertAlign w:val="superscript"/>
              </w:rPr>
              <w:t>nd</w:t>
            </w:r>
            <w:r w:rsidRPr="008D6368">
              <w:rPr>
                <w:rFonts w:cstheme="minorHAnsi"/>
                <w:sz w:val="20"/>
                <w:szCs w:val="20"/>
              </w:rPr>
              <w:t xml:space="preserve"> Edition, </w:t>
            </w:r>
            <w:proofErr w:type="spellStart"/>
            <w:r w:rsidRPr="008D6368">
              <w:rPr>
                <w:rFonts w:cstheme="minorHAnsi"/>
                <w:sz w:val="20"/>
                <w:szCs w:val="20"/>
              </w:rPr>
              <w:t>Mattias</w:t>
            </w:r>
            <w:proofErr w:type="spellEnd"/>
            <w:r w:rsidRPr="008D6368">
              <w:rPr>
                <w:rFonts w:cstheme="minorHAnsi"/>
                <w:sz w:val="20"/>
                <w:szCs w:val="20"/>
              </w:rPr>
              <w:t xml:space="preserve"> Egger, George Davey Smith and Douglas Altman </w:t>
            </w:r>
            <w:proofErr w:type="spellStart"/>
            <w:r w:rsidRPr="008D6368">
              <w:rPr>
                <w:rFonts w:cstheme="minorHAnsi"/>
                <w:sz w:val="20"/>
                <w:szCs w:val="20"/>
              </w:rPr>
              <w:t>eds</w:t>
            </w:r>
            <w:proofErr w:type="spellEnd"/>
            <w:r w:rsidRPr="008D6368">
              <w:rPr>
                <w:rFonts w:cstheme="minorHAnsi"/>
                <w:sz w:val="20"/>
                <w:szCs w:val="20"/>
              </w:rPr>
              <w:t>, BMJ Books 2011; chapters 1 &amp; 2.</w:t>
            </w:r>
          </w:p>
          <w:p w14:paraId="43D318A6" w14:textId="77777777" w:rsidR="00F17760" w:rsidRPr="008D6368" w:rsidRDefault="00F17760" w:rsidP="008D6368">
            <w:pPr>
              <w:spacing w:line="240" w:lineRule="auto"/>
              <w:contextualSpacing/>
              <w:rPr>
                <w:rFonts w:cstheme="minorHAnsi"/>
                <w:sz w:val="20"/>
                <w:szCs w:val="20"/>
              </w:rPr>
            </w:pPr>
          </w:p>
          <w:p w14:paraId="146580E9" w14:textId="77777777" w:rsidR="00F17760" w:rsidRPr="008D6368" w:rsidRDefault="00F17760" w:rsidP="008D6368">
            <w:pPr>
              <w:spacing w:line="240" w:lineRule="auto"/>
              <w:contextualSpacing/>
              <w:rPr>
                <w:rFonts w:cstheme="minorHAnsi"/>
                <w:sz w:val="20"/>
                <w:szCs w:val="20"/>
              </w:rPr>
            </w:pPr>
            <w:proofErr w:type="spellStart"/>
            <w:r w:rsidRPr="008D6368">
              <w:rPr>
                <w:rFonts w:cstheme="minorHAnsi"/>
                <w:sz w:val="20"/>
                <w:szCs w:val="20"/>
              </w:rPr>
              <w:t>Mosteller</w:t>
            </w:r>
            <w:proofErr w:type="spellEnd"/>
            <w:r w:rsidRPr="008D6368">
              <w:rPr>
                <w:rFonts w:cstheme="minorHAnsi"/>
                <w:sz w:val="20"/>
                <w:szCs w:val="20"/>
              </w:rPr>
              <w:t xml:space="preserve"> F, Colditz G. </w:t>
            </w:r>
            <w:hyperlink r:id="rId18" w:history="1">
              <w:r w:rsidRPr="008D6368">
                <w:rPr>
                  <w:rStyle w:val="Hyperlink"/>
                  <w:rFonts w:cstheme="minorHAnsi"/>
                  <w:sz w:val="20"/>
                  <w:szCs w:val="20"/>
                </w:rPr>
                <w:t>Understanding Research Synthesis (Meta-Analysis</w:t>
              </w:r>
            </w:hyperlink>
            <w:r w:rsidRPr="008D6368">
              <w:rPr>
                <w:rFonts w:cstheme="minorHAnsi"/>
                <w:sz w:val="20"/>
                <w:szCs w:val="20"/>
              </w:rPr>
              <w:t>). Annual Rev Public Health 1996</w:t>
            </w:r>
            <w:proofErr w:type="gramStart"/>
            <w:r w:rsidRPr="008D6368">
              <w:rPr>
                <w:rFonts w:cstheme="minorHAnsi"/>
                <w:sz w:val="20"/>
                <w:szCs w:val="20"/>
              </w:rPr>
              <w:t>;17:1</w:t>
            </w:r>
            <w:proofErr w:type="gramEnd"/>
            <w:r w:rsidRPr="008D6368">
              <w:rPr>
                <w:rFonts w:cstheme="minorHAnsi"/>
                <w:sz w:val="20"/>
                <w:szCs w:val="20"/>
              </w:rPr>
              <w:t xml:space="preserve">-23. </w:t>
            </w:r>
          </w:p>
          <w:p w14:paraId="150F24A4" w14:textId="77777777" w:rsidR="00F17760" w:rsidRPr="008D6368" w:rsidRDefault="00F17760" w:rsidP="008D6368">
            <w:pPr>
              <w:spacing w:line="240" w:lineRule="auto"/>
              <w:contextualSpacing/>
              <w:rPr>
                <w:rFonts w:cstheme="minorHAnsi"/>
                <w:sz w:val="20"/>
                <w:szCs w:val="20"/>
              </w:rPr>
            </w:pPr>
          </w:p>
          <w:p w14:paraId="00FD71B0" w14:textId="77777777" w:rsidR="00F17760" w:rsidRPr="008D6368" w:rsidRDefault="00F17760" w:rsidP="008D6368">
            <w:pPr>
              <w:spacing w:line="240" w:lineRule="auto"/>
              <w:contextualSpacing/>
              <w:rPr>
                <w:rFonts w:cstheme="minorHAnsi"/>
                <w:sz w:val="20"/>
                <w:szCs w:val="20"/>
              </w:rPr>
            </w:pPr>
            <w:r w:rsidRPr="008D6368">
              <w:rPr>
                <w:rFonts w:cstheme="minorHAnsi"/>
                <w:sz w:val="20"/>
                <w:szCs w:val="20"/>
              </w:rPr>
              <w:t xml:space="preserve">Berlin JA, Colditz GA. </w:t>
            </w:r>
            <w:hyperlink r:id="rId19" w:history="1">
              <w:r w:rsidRPr="008D6368">
                <w:rPr>
                  <w:rStyle w:val="Hyperlink"/>
                  <w:rFonts w:cstheme="minorHAnsi"/>
                  <w:sz w:val="20"/>
                  <w:szCs w:val="20"/>
                </w:rPr>
                <w:t xml:space="preserve">The Role of Meta-Analysis in the Regulatory Process for Foods, Drugs, </w:t>
              </w:r>
              <w:proofErr w:type="gramStart"/>
              <w:r w:rsidRPr="008D6368">
                <w:rPr>
                  <w:rStyle w:val="Hyperlink"/>
                  <w:rFonts w:cstheme="minorHAnsi"/>
                  <w:sz w:val="20"/>
                  <w:szCs w:val="20"/>
                </w:rPr>
                <w:t>an</w:t>
              </w:r>
              <w:proofErr w:type="gramEnd"/>
              <w:r w:rsidRPr="008D6368">
                <w:rPr>
                  <w:rStyle w:val="Hyperlink"/>
                  <w:rFonts w:cstheme="minorHAnsi"/>
                  <w:sz w:val="20"/>
                  <w:szCs w:val="20"/>
                </w:rPr>
                <w:t xml:space="preserve"> Devices</w:t>
              </w:r>
            </w:hyperlink>
            <w:r w:rsidRPr="008D6368">
              <w:rPr>
                <w:rFonts w:cstheme="minorHAnsi"/>
                <w:sz w:val="20"/>
                <w:szCs w:val="20"/>
              </w:rPr>
              <w:t xml:space="preserve">  JAMA 1999; 281(9)830-934.</w:t>
            </w:r>
          </w:p>
          <w:p w14:paraId="15FF12B4" w14:textId="77777777" w:rsidR="00F17760" w:rsidRPr="008D6368" w:rsidRDefault="00F17760" w:rsidP="008D6368">
            <w:pPr>
              <w:spacing w:line="240" w:lineRule="auto"/>
              <w:contextualSpacing/>
              <w:rPr>
                <w:rFonts w:cstheme="minorHAnsi"/>
                <w:sz w:val="20"/>
                <w:szCs w:val="20"/>
              </w:rPr>
            </w:pPr>
          </w:p>
          <w:p w14:paraId="757D4BD8" w14:textId="77777777" w:rsidR="00F17760" w:rsidRPr="008D6368" w:rsidRDefault="00F17760" w:rsidP="008D6368">
            <w:pPr>
              <w:spacing w:line="240" w:lineRule="auto"/>
              <w:contextualSpacing/>
              <w:rPr>
                <w:rFonts w:cstheme="minorHAnsi"/>
                <w:i/>
                <w:sz w:val="20"/>
                <w:szCs w:val="20"/>
              </w:rPr>
            </w:pPr>
            <w:r w:rsidRPr="008D6368">
              <w:rPr>
                <w:rFonts w:cstheme="minorHAnsi"/>
                <w:i/>
                <w:sz w:val="20"/>
                <w:szCs w:val="20"/>
              </w:rPr>
              <w:t>Classic article</w:t>
            </w:r>
          </w:p>
          <w:p w14:paraId="47A06E10" w14:textId="13F45E75" w:rsidR="004F68DA" w:rsidRPr="008D6368" w:rsidRDefault="00F17760" w:rsidP="008D6368">
            <w:pPr>
              <w:spacing w:line="240" w:lineRule="auto"/>
              <w:contextualSpacing/>
              <w:rPr>
                <w:rFonts w:cstheme="minorHAnsi"/>
                <w:sz w:val="20"/>
                <w:szCs w:val="20"/>
              </w:rPr>
            </w:pPr>
            <w:proofErr w:type="spellStart"/>
            <w:r w:rsidRPr="008D6368">
              <w:rPr>
                <w:rFonts w:cstheme="minorHAnsi"/>
                <w:sz w:val="20"/>
                <w:szCs w:val="20"/>
              </w:rPr>
              <w:t>Stampfer</w:t>
            </w:r>
            <w:proofErr w:type="spellEnd"/>
            <w:r w:rsidRPr="008D6368">
              <w:rPr>
                <w:rFonts w:cstheme="minorHAnsi"/>
                <w:sz w:val="20"/>
                <w:szCs w:val="20"/>
              </w:rPr>
              <w:t xml:space="preserve"> MJ, </w:t>
            </w:r>
            <w:proofErr w:type="spellStart"/>
            <w:r w:rsidRPr="008D6368">
              <w:rPr>
                <w:rFonts w:cstheme="minorHAnsi"/>
                <w:sz w:val="20"/>
                <w:szCs w:val="20"/>
              </w:rPr>
              <w:t>Goldhaber</w:t>
            </w:r>
            <w:proofErr w:type="spellEnd"/>
            <w:r w:rsidRPr="008D6368">
              <w:rPr>
                <w:rFonts w:cstheme="minorHAnsi"/>
                <w:sz w:val="20"/>
                <w:szCs w:val="20"/>
              </w:rPr>
              <w:t xml:space="preserve"> SZ, Yusuf S, </w:t>
            </w:r>
            <w:proofErr w:type="spellStart"/>
            <w:r w:rsidRPr="008D6368">
              <w:rPr>
                <w:rFonts w:cstheme="minorHAnsi"/>
                <w:sz w:val="20"/>
                <w:szCs w:val="20"/>
              </w:rPr>
              <w:t>Peto</w:t>
            </w:r>
            <w:proofErr w:type="spellEnd"/>
            <w:r w:rsidRPr="008D6368">
              <w:rPr>
                <w:rFonts w:cstheme="minorHAnsi"/>
                <w:sz w:val="20"/>
                <w:szCs w:val="20"/>
              </w:rPr>
              <w:t xml:space="preserve"> DPR, </w:t>
            </w:r>
            <w:proofErr w:type="spellStart"/>
            <w:r w:rsidRPr="008D6368">
              <w:rPr>
                <w:rFonts w:cstheme="minorHAnsi"/>
                <w:sz w:val="20"/>
                <w:szCs w:val="20"/>
              </w:rPr>
              <w:t>Hennekens</w:t>
            </w:r>
            <w:proofErr w:type="spellEnd"/>
            <w:r w:rsidRPr="008D6368">
              <w:rPr>
                <w:rFonts w:cstheme="minorHAnsi"/>
                <w:sz w:val="20"/>
                <w:szCs w:val="20"/>
              </w:rPr>
              <w:t xml:space="preserve"> CH. Effect of Intravenous </w:t>
            </w:r>
            <w:hyperlink r:id="rId20" w:history="1">
              <w:r w:rsidRPr="008D6368">
                <w:rPr>
                  <w:rStyle w:val="Hyperlink"/>
                  <w:rFonts w:cstheme="minorHAnsi"/>
                  <w:sz w:val="20"/>
                  <w:szCs w:val="20"/>
                </w:rPr>
                <w:t>Streptokinase on Acute Myocardial Infarction: Pooled Results from Randomized Trials</w:t>
              </w:r>
            </w:hyperlink>
            <w:r w:rsidRPr="008D6368">
              <w:rPr>
                <w:rFonts w:cstheme="minorHAnsi"/>
                <w:sz w:val="20"/>
                <w:szCs w:val="20"/>
              </w:rPr>
              <w:t>. NEJM 1982</w:t>
            </w:r>
            <w:proofErr w:type="gramStart"/>
            <w:r w:rsidRPr="008D6368">
              <w:rPr>
                <w:rFonts w:cstheme="minorHAnsi"/>
                <w:sz w:val="20"/>
                <w:szCs w:val="20"/>
              </w:rPr>
              <w:t>;307</w:t>
            </w:r>
            <w:proofErr w:type="gramEnd"/>
            <w:r w:rsidRPr="008D6368">
              <w:rPr>
                <w:rFonts w:cstheme="minorHAnsi"/>
                <w:sz w:val="20"/>
                <w:szCs w:val="20"/>
              </w:rPr>
              <w:t xml:space="preserve">(19):1180-82. </w:t>
            </w:r>
          </w:p>
        </w:tc>
      </w:tr>
      <w:tr w:rsidR="004F68DA" w:rsidRPr="008D6368" w14:paraId="1E0C3EC8" w14:textId="70AB4396" w:rsidTr="00557CE3">
        <w:trPr>
          <w:trHeight w:val="432"/>
        </w:trPr>
        <w:tc>
          <w:tcPr>
            <w:tcW w:w="741" w:type="dxa"/>
            <w:tcBorders>
              <w:top w:val="single" w:sz="2" w:space="0" w:color="000000"/>
              <w:bottom w:val="single" w:sz="2" w:space="0" w:color="000000"/>
            </w:tcBorders>
          </w:tcPr>
          <w:p w14:paraId="071D5473" w14:textId="77777777" w:rsidR="004F68DA" w:rsidRPr="008D6368" w:rsidRDefault="004F68DA" w:rsidP="00557CE3">
            <w:pPr>
              <w:spacing w:after="0" w:line="240" w:lineRule="auto"/>
              <w:contextualSpacing/>
              <w:rPr>
                <w:rFonts w:cstheme="minorHAnsi"/>
                <w:b/>
                <w:sz w:val="20"/>
                <w:szCs w:val="20"/>
              </w:rPr>
            </w:pPr>
            <w:r w:rsidRPr="008D6368">
              <w:rPr>
                <w:rFonts w:cstheme="minorHAnsi"/>
                <w:b/>
                <w:sz w:val="20"/>
                <w:szCs w:val="20"/>
              </w:rPr>
              <w:t>Class 2</w:t>
            </w:r>
          </w:p>
        </w:tc>
        <w:tc>
          <w:tcPr>
            <w:tcW w:w="785" w:type="dxa"/>
            <w:tcBorders>
              <w:top w:val="single" w:sz="2" w:space="0" w:color="000000"/>
              <w:bottom w:val="single" w:sz="2" w:space="0" w:color="000000"/>
            </w:tcBorders>
          </w:tcPr>
          <w:p w14:paraId="278F4CC6" w14:textId="26D3F0E0" w:rsidR="004F68DA" w:rsidRPr="008D6368" w:rsidRDefault="00E87BDF" w:rsidP="00557CE3">
            <w:pPr>
              <w:spacing w:after="0" w:line="240" w:lineRule="auto"/>
              <w:contextualSpacing/>
              <w:rPr>
                <w:rFonts w:cstheme="minorHAnsi"/>
                <w:sz w:val="20"/>
                <w:szCs w:val="20"/>
              </w:rPr>
            </w:pPr>
            <w:r w:rsidRPr="008D6368">
              <w:rPr>
                <w:rFonts w:cstheme="minorHAnsi"/>
                <w:sz w:val="20"/>
                <w:szCs w:val="20"/>
              </w:rPr>
              <w:t>Jan 24</w:t>
            </w:r>
          </w:p>
        </w:tc>
        <w:tc>
          <w:tcPr>
            <w:tcW w:w="1559" w:type="dxa"/>
            <w:tcBorders>
              <w:top w:val="single" w:sz="2" w:space="0" w:color="000000"/>
              <w:bottom w:val="single" w:sz="2" w:space="0" w:color="000000"/>
            </w:tcBorders>
          </w:tcPr>
          <w:p w14:paraId="3A65AD9F" w14:textId="09260291" w:rsidR="004F68DA" w:rsidRPr="008D6368" w:rsidRDefault="0043650C" w:rsidP="00557CE3">
            <w:pPr>
              <w:spacing w:after="0" w:line="240" w:lineRule="auto"/>
              <w:contextualSpacing/>
              <w:rPr>
                <w:rFonts w:cstheme="minorHAnsi"/>
                <w:sz w:val="20"/>
                <w:szCs w:val="20"/>
              </w:rPr>
            </w:pPr>
            <w:r w:rsidRPr="008D6368">
              <w:rPr>
                <w:rFonts w:cstheme="minorHAnsi"/>
                <w:sz w:val="20"/>
                <w:szCs w:val="20"/>
              </w:rPr>
              <w:t xml:space="preserve">Defining the research question and </w:t>
            </w:r>
            <w:r w:rsidRPr="008D6368">
              <w:rPr>
                <w:rFonts w:cstheme="minorHAnsi"/>
                <w:sz w:val="20"/>
                <w:szCs w:val="20"/>
              </w:rPr>
              <w:lastRenderedPageBreak/>
              <w:t>searching the literature</w:t>
            </w:r>
          </w:p>
          <w:p w14:paraId="123D1EA4" w14:textId="4DCD2244" w:rsidR="0043650C" w:rsidRPr="008D6368" w:rsidRDefault="0043650C" w:rsidP="00557CE3">
            <w:pPr>
              <w:spacing w:after="0" w:line="240" w:lineRule="auto"/>
              <w:contextualSpacing/>
              <w:rPr>
                <w:rFonts w:cstheme="minorHAnsi"/>
                <w:sz w:val="20"/>
                <w:szCs w:val="20"/>
              </w:rPr>
            </w:pPr>
          </w:p>
          <w:p w14:paraId="51A85661" w14:textId="48E8D21D" w:rsidR="0043650C" w:rsidRPr="008D6368" w:rsidRDefault="0043650C" w:rsidP="00557CE3">
            <w:pPr>
              <w:spacing w:after="0" w:line="240" w:lineRule="auto"/>
              <w:contextualSpacing/>
              <w:rPr>
                <w:rFonts w:cstheme="minorHAnsi"/>
                <w:sz w:val="20"/>
                <w:szCs w:val="20"/>
              </w:rPr>
            </w:pPr>
            <w:r w:rsidRPr="008D6368">
              <w:rPr>
                <w:rFonts w:cstheme="minorHAnsi"/>
                <w:sz w:val="20"/>
                <w:szCs w:val="20"/>
              </w:rPr>
              <w:t>Presentation by Michelle Doering and Angela Hardi from Becker Library</w:t>
            </w:r>
          </w:p>
          <w:p w14:paraId="74D4AD60" w14:textId="77777777" w:rsidR="004F68DA" w:rsidRPr="008D6368" w:rsidRDefault="004F68DA" w:rsidP="00557CE3">
            <w:pPr>
              <w:spacing w:after="0" w:line="240" w:lineRule="auto"/>
              <w:contextualSpacing/>
              <w:rPr>
                <w:rFonts w:cstheme="minorHAnsi"/>
                <w:sz w:val="20"/>
                <w:szCs w:val="20"/>
              </w:rPr>
            </w:pPr>
          </w:p>
        </w:tc>
        <w:tc>
          <w:tcPr>
            <w:tcW w:w="785" w:type="dxa"/>
            <w:tcBorders>
              <w:top w:val="single" w:sz="2" w:space="0" w:color="000000"/>
              <w:bottom w:val="single" w:sz="2" w:space="0" w:color="000000"/>
            </w:tcBorders>
          </w:tcPr>
          <w:p w14:paraId="7C5696A9" w14:textId="77777777" w:rsidR="004F68DA" w:rsidRPr="008D6368" w:rsidRDefault="004F68DA" w:rsidP="008D6368">
            <w:pPr>
              <w:spacing w:after="0" w:line="240" w:lineRule="auto"/>
              <w:contextualSpacing/>
              <w:rPr>
                <w:rFonts w:cstheme="minorHAnsi"/>
                <w:sz w:val="20"/>
                <w:szCs w:val="20"/>
              </w:rPr>
            </w:pPr>
          </w:p>
        </w:tc>
        <w:tc>
          <w:tcPr>
            <w:tcW w:w="6066" w:type="dxa"/>
            <w:tcBorders>
              <w:top w:val="single" w:sz="2" w:space="0" w:color="000000"/>
              <w:bottom w:val="single" w:sz="2" w:space="0" w:color="000000"/>
            </w:tcBorders>
          </w:tcPr>
          <w:p w14:paraId="1267CA38" w14:textId="5FAE97DC" w:rsidR="00C766F1" w:rsidRDefault="00C766F1" w:rsidP="008D6368">
            <w:pPr>
              <w:spacing w:line="240" w:lineRule="auto"/>
              <w:contextualSpacing/>
              <w:rPr>
                <w:rFonts w:cstheme="minorHAnsi"/>
                <w:sz w:val="20"/>
                <w:szCs w:val="20"/>
              </w:rPr>
            </w:pPr>
            <w:proofErr w:type="spellStart"/>
            <w:r w:rsidRPr="008D6368">
              <w:rPr>
                <w:rFonts w:cstheme="minorHAnsi"/>
                <w:sz w:val="20"/>
                <w:szCs w:val="20"/>
              </w:rPr>
              <w:t>Counsell</w:t>
            </w:r>
            <w:proofErr w:type="spellEnd"/>
            <w:r w:rsidRPr="008D6368">
              <w:rPr>
                <w:rFonts w:cstheme="minorHAnsi"/>
                <w:sz w:val="20"/>
                <w:szCs w:val="20"/>
              </w:rPr>
              <w:t xml:space="preserve"> C. </w:t>
            </w:r>
            <w:hyperlink r:id="rId21" w:history="1">
              <w:r w:rsidRPr="008D6368">
                <w:rPr>
                  <w:rStyle w:val="Hyperlink"/>
                  <w:rFonts w:cstheme="minorHAnsi"/>
                  <w:sz w:val="20"/>
                  <w:szCs w:val="20"/>
                </w:rPr>
                <w:t>Formulating Questions and Locating Primary Studies for Inclusion in Systematic Reviews</w:t>
              </w:r>
            </w:hyperlink>
            <w:r w:rsidRPr="008D6368">
              <w:rPr>
                <w:rFonts w:cstheme="minorHAnsi"/>
                <w:sz w:val="20"/>
                <w:szCs w:val="20"/>
              </w:rPr>
              <w:t>. Ann Inter Med.1997</w:t>
            </w:r>
            <w:proofErr w:type="gramStart"/>
            <w:r w:rsidRPr="008D6368">
              <w:rPr>
                <w:rFonts w:cstheme="minorHAnsi"/>
                <w:sz w:val="20"/>
                <w:szCs w:val="20"/>
              </w:rPr>
              <w:t>;127:380</w:t>
            </w:r>
            <w:proofErr w:type="gramEnd"/>
            <w:r w:rsidRPr="008D6368">
              <w:rPr>
                <w:rFonts w:cstheme="minorHAnsi"/>
                <w:sz w:val="20"/>
                <w:szCs w:val="20"/>
              </w:rPr>
              <w:t xml:space="preserve">-387. </w:t>
            </w:r>
          </w:p>
          <w:p w14:paraId="4804C99C" w14:textId="77777777" w:rsidR="008D6368" w:rsidRPr="008D6368" w:rsidRDefault="008D6368" w:rsidP="008D6368">
            <w:pPr>
              <w:spacing w:line="240" w:lineRule="auto"/>
              <w:contextualSpacing/>
              <w:rPr>
                <w:rFonts w:cstheme="minorHAnsi"/>
                <w:sz w:val="20"/>
                <w:szCs w:val="20"/>
              </w:rPr>
            </w:pPr>
          </w:p>
          <w:p w14:paraId="5E0471C5" w14:textId="7AB734B8" w:rsidR="00C766F1" w:rsidRDefault="00C766F1" w:rsidP="008D6368">
            <w:pPr>
              <w:spacing w:line="240" w:lineRule="auto"/>
              <w:contextualSpacing/>
              <w:rPr>
                <w:rFonts w:cstheme="minorHAnsi"/>
                <w:sz w:val="20"/>
                <w:szCs w:val="20"/>
              </w:rPr>
            </w:pPr>
            <w:r w:rsidRPr="008D6368">
              <w:rPr>
                <w:rFonts w:cstheme="minorHAnsi"/>
                <w:sz w:val="20"/>
                <w:szCs w:val="20"/>
              </w:rPr>
              <w:t>Systematic Reviews in Health Care: Meta-analysis in Context, 2</w:t>
            </w:r>
            <w:r w:rsidRPr="008D6368">
              <w:rPr>
                <w:rFonts w:cstheme="minorHAnsi"/>
                <w:sz w:val="20"/>
                <w:szCs w:val="20"/>
                <w:vertAlign w:val="superscript"/>
              </w:rPr>
              <w:t>nd</w:t>
            </w:r>
            <w:r w:rsidRPr="008D6368">
              <w:rPr>
                <w:rFonts w:cstheme="minorHAnsi"/>
                <w:sz w:val="20"/>
                <w:szCs w:val="20"/>
              </w:rPr>
              <w:t xml:space="preserve"> Edition, </w:t>
            </w:r>
            <w:proofErr w:type="spellStart"/>
            <w:r w:rsidRPr="008D6368">
              <w:rPr>
                <w:rFonts w:cstheme="minorHAnsi"/>
                <w:sz w:val="20"/>
                <w:szCs w:val="20"/>
              </w:rPr>
              <w:t>Mattias</w:t>
            </w:r>
            <w:proofErr w:type="spellEnd"/>
            <w:r w:rsidRPr="008D6368">
              <w:rPr>
                <w:rFonts w:cstheme="minorHAnsi"/>
                <w:sz w:val="20"/>
                <w:szCs w:val="20"/>
              </w:rPr>
              <w:t xml:space="preserve"> Egger, George Davey Smith and Douglas Altman </w:t>
            </w:r>
            <w:proofErr w:type="spellStart"/>
            <w:r w:rsidRPr="008D6368">
              <w:rPr>
                <w:rFonts w:cstheme="minorHAnsi"/>
                <w:sz w:val="20"/>
                <w:szCs w:val="20"/>
              </w:rPr>
              <w:t>eds</w:t>
            </w:r>
            <w:proofErr w:type="spellEnd"/>
            <w:r w:rsidRPr="008D6368">
              <w:rPr>
                <w:rFonts w:cstheme="minorHAnsi"/>
                <w:sz w:val="20"/>
                <w:szCs w:val="20"/>
              </w:rPr>
              <w:t>, BMJ Books 2011</w:t>
            </w:r>
            <w:proofErr w:type="gramStart"/>
            <w:r w:rsidRPr="008D6368">
              <w:rPr>
                <w:rFonts w:cstheme="minorHAnsi"/>
                <w:sz w:val="20"/>
                <w:szCs w:val="20"/>
              </w:rPr>
              <w:t>;chapters</w:t>
            </w:r>
            <w:proofErr w:type="gramEnd"/>
            <w:r w:rsidRPr="008D6368">
              <w:rPr>
                <w:rFonts w:cstheme="minorHAnsi"/>
                <w:sz w:val="20"/>
                <w:szCs w:val="20"/>
              </w:rPr>
              <w:t xml:space="preserve"> 3, 4 &amp; 5.</w:t>
            </w:r>
          </w:p>
          <w:p w14:paraId="616E68E2" w14:textId="77777777" w:rsidR="008D6368" w:rsidRPr="008D6368" w:rsidRDefault="008D6368" w:rsidP="008D6368">
            <w:pPr>
              <w:spacing w:line="240" w:lineRule="auto"/>
              <w:contextualSpacing/>
              <w:rPr>
                <w:rFonts w:cstheme="minorHAnsi"/>
                <w:sz w:val="20"/>
                <w:szCs w:val="20"/>
              </w:rPr>
            </w:pPr>
          </w:p>
          <w:p w14:paraId="2BB2A163" w14:textId="63BA919F" w:rsidR="00C766F1" w:rsidRDefault="00C766F1" w:rsidP="008D6368">
            <w:pPr>
              <w:spacing w:line="240" w:lineRule="auto"/>
              <w:contextualSpacing/>
              <w:rPr>
                <w:rFonts w:cstheme="minorHAnsi"/>
                <w:sz w:val="20"/>
                <w:szCs w:val="20"/>
              </w:rPr>
            </w:pPr>
            <w:r w:rsidRPr="008D6368">
              <w:rPr>
                <w:rFonts w:cstheme="minorHAnsi"/>
                <w:sz w:val="20"/>
                <w:szCs w:val="20"/>
              </w:rPr>
              <w:t xml:space="preserve">Colditz GA, Brewer TF, </w:t>
            </w:r>
            <w:proofErr w:type="spellStart"/>
            <w:r w:rsidRPr="008D6368">
              <w:rPr>
                <w:rFonts w:cstheme="minorHAnsi"/>
                <w:sz w:val="20"/>
                <w:szCs w:val="20"/>
              </w:rPr>
              <w:t>Berkey</w:t>
            </w:r>
            <w:proofErr w:type="spellEnd"/>
            <w:r w:rsidRPr="008D6368">
              <w:rPr>
                <w:rFonts w:cstheme="minorHAnsi"/>
                <w:sz w:val="20"/>
                <w:szCs w:val="20"/>
              </w:rPr>
              <w:t xml:space="preserve"> CS, Wilson ME, Burdick E, </w:t>
            </w:r>
            <w:proofErr w:type="spellStart"/>
            <w:r w:rsidRPr="008D6368">
              <w:rPr>
                <w:rFonts w:cstheme="minorHAnsi"/>
                <w:sz w:val="20"/>
                <w:szCs w:val="20"/>
              </w:rPr>
              <w:t>Fineberg</w:t>
            </w:r>
            <w:proofErr w:type="spellEnd"/>
            <w:r w:rsidRPr="008D6368">
              <w:rPr>
                <w:rFonts w:cstheme="minorHAnsi"/>
                <w:sz w:val="20"/>
                <w:szCs w:val="20"/>
              </w:rPr>
              <w:t xml:space="preserve"> HV, </w:t>
            </w:r>
            <w:proofErr w:type="spellStart"/>
            <w:r w:rsidRPr="008D6368">
              <w:rPr>
                <w:rFonts w:cstheme="minorHAnsi"/>
                <w:sz w:val="20"/>
                <w:szCs w:val="20"/>
              </w:rPr>
              <w:t>Mosteller</w:t>
            </w:r>
            <w:proofErr w:type="spellEnd"/>
            <w:r w:rsidRPr="008D6368">
              <w:rPr>
                <w:rFonts w:cstheme="minorHAnsi"/>
                <w:sz w:val="20"/>
                <w:szCs w:val="20"/>
              </w:rPr>
              <w:t xml:space="preserve"> F. Efficacy of </w:t>
            </w:r>
            <w:hyperlink r:id="rId22" w:history="1">
              <w:r w:rsidRPr="008D6368">
                <w:rPr>
                  <w:rStyle w:val="Hyperlink"/>
                  <w:rFonts w:cstheme="minorHAnsi"/>
                  <w:sz w:val="20"/>
                  <w:szCs w:val="20"/>
                </w:rPr>
                <w:t>BCG vaccine in the prevention of tuberculosis: Meta-analysis of the published literature.</w:t>
              </w:r>
            </w:hyperlink>
            <w:r w:rsidRPr="008D6368">
              <w:rPr>
                <w:rFonts w:cstheme="minorHAnsi"/>
                <w:sz w:val="20"/>
                <w:szCs w:val="20"/>
              </w:rPr>
              <w:t xml:space="preserve"> </w:t>
            </w:r>
            <w:r w:rsidRPr="008D6368">
              <w:rPr>
                <w:rFonts w:cstheme="minorHAnsi"/>
                <w:i/>
                <w:sz w:val="20"/>
                <w:szCs w:val="20"/>
              </w:rPr>
              <w:t>JAMA</w:t>
            </w:r>
            <w:r w:rsidRPr="008D6368">
              <w:rPr>
                <w:rFonts w:cstheme="minorHAnsi"/>
                <w:sz w:val="20"/>
                <w:szCs w:val="20"/>
              </w:rPr>
              <w:t xml:space="preserve"> 1994; 271:698 </w:t>
            </w:r>
          </w:p>
          <w:p w14:paraId="077173B5" w14:textId="77777777" w:rsidR="008D6368" w:rsidRPr="008D6368" w:rsidRDefault="008D6368" w:rsidP="008D6368">
            <w:pPr>
              <w:spacing w:line="240" w:lineRule="auto"/>
              <w:contextualSpacing/>
              <w:rPr>
                <w:rFonts w:cstheme="minorHAnsi"/>
                <w:sz w:val="20"/>
                <w:szCs w:val="20"/>
              </w:rPr>
            </w:pPr>
          </w:p>
          <w:p w14:paraId="5B245C9E" w14:textId="26708C4B" w:rsidR="00C766F1" w:rsidRDefault="00C766F1" w:rsidP="008D6368">
            <w:pPr>
              <w:spacing w:line="240" w:lineRule="auto"/>
              <w:contextualSpacing/>
              <w:rPr>
                <w:rFonts w:cstheme="minorHAnsi"/>
                <w:sz w:val="20"/>
                <w:szCs w:val="20"/>
              </w:rPr>
            </w:pPr>
            <w:r w:rsidRPr="008D6368">
              <w:rPr>
                <w:rFonts w:cstheme="minorHAnsi"/>
                <w:sz w:val="20"/>
                <w:szCs w:val="20"/>
              </w:rPr>
              <w:t xml:space="preserve">Colditz GA, </w:t>
            </w:r>
            <w:proofErr w:type="spellStart"/>
            <w:r w:rsidRPr="008D6368">
              <w:rPr>
                <w:rFonts w:cstheme="minorHAnsi"/>
                <w:sz w:val="20"/>
                <w:szCs w:val="20"/>
              </w:rPr>
              <w:t>Berkey</w:t>
            </w:r>
            <w:proofErr w:type="spellEnd"/>
            <w:r w:rsidRPr="008D6368">
              <w:rPr>
                <w:rFonts w:cstheme="minorHAnsi"/>
                <w:sz w:val="20"/>
                <w:szCs w:val="20"/>
              </w:rPr>
              <w:t xml:space="preserve"> CA, </w:t>
            </w:r>
            <w:proofErr w:type="spellStart"/>
            <w:r w:rsidRPr="008D6368">
              <w:rPr>
                <w:rFonts w:cstheme="minorHAnsi"/>
                <w:sz w:val="20"/>
                <w:szCs w:val="20"/>
              </w:rPr>
              <w:t>Mosteller</w:t>
            </w:r>
            <w:proofErr w:type="spellEnd"/>
            <w:r w:rsidRPr="008D6368">
              <w:rPr>
                <w:rFonts w:cstheme="minorHAnsi"/>
                <w:sz w:val="20"/>
                <w:szCs w:val="20"/>
              </w:rPr>
              <w:t xml:space="preserve"> F, Brewer TF, Wilson ME, Burdick E, </w:t>
            </w:r>
            <w:proofErr w:type="spellStart"/>
            <w:r w:rsidRPr="008D6368">
              <w:rPr>
                <w:rFonts w:cstheme="minorHAnsi"/>
                <w:sz w:val="20"/>
                <w:szCs w:val="20"/>
              </w:rPr>
              <w:t>Fineberg</w:t>
            </w:r>
            <w:proofErr w:type="spellEnd"/>
            <w:r w:rsidRPr="008D6368">
              <w:rPr>
                <w:rFonts w:cstheme="minorHAnsi"/>
                <w:sz w:val="20"/>
                <w:szCs w:val="20"/>
              </w:rPr>
              <w:t xml:space="preserve">. </w:t>
            </w:r>
            <w:hyperlink r:id="rId23" w:history="1">
              <w:r w:rsidRPr="008D6368">
                <w:rPr>
                  <w:rStyle w:val="Hyperlink"/>
                  <w:rFonts w:cstheme="minorHAnsi"/>
                  <w:sz w:val="20"/>
                  <w:szCs w:val="20"/>
                </w:rPr>
                <w:t xml:space="preserve">The efficacy of Bacillus </w:t>
              </w:r>
              <w:proofErr w:type="spellStart"/>
              <w:r w:rsidRPr="008D6368">
                <w:rPr>
                  <w:rStyle w:val="Hyperlink"/>
                  <w:rFonts w:cstheme="minorHAnsi"/>
                  <w:sz w:val="20"/>
                  <w:szCs w:val="20"/>
                </w:rPr>
                <w:t>Calmette-Guérin</w:t>
              </w:r>
              <w:proofErr w:type="spellEnd"/>
              <w:r w:rsidRPr="008D6368">
                <w:rPr>
                  <w:rStyle w:val="Hyperlink"/>
                  <w:rFonts w:cstheme="minorHAnsi"/>
                  <w:sz w:val="20"/>
                  <w:szCs w:val="20"/>
                </w:rPr>
                <w:t xml:space="preserve"> vaccination of newborns and infants in the prevention of tuberculosis:  Meta-analysis of the published literature</w:t>
              </w:r>
            </w:hyperlink>
            <w:r w:rsidRPr="008D6368">
              <w:rPr>
                <w:rFonts w:cstheme="minorHAnsi"/>
                <w:sz w:val="20"/>
                <w:szCs w:val="20"/>
              </w:rPr>
              <w:t xml:space="preserve">, </w:t>
            </w:r>
            <w:r w:rsidRPr="008D6368">
              <w:rPr>
                <w:rFonts w:cstheme="minorHAnsi"/>
                <w:i/>
                <w:sz w:val="20"/>
                <w:szCs w:val="20"/>
              </w:rPr>
              <w:t>Pediatrics</w:t>
            </w:r>
            <w:r w:rsidRPr="008D6368">
              <w:rPr>
                <w:rFonts w:cstheme="minorHAnsi"/>
                <w:sz w:val="20"/>
                <w:szCs w:val="20"/>
              </w:rPr>
              <w:t xml:space="preserve"> 1995</w:t>
            </w:r>
            <w:proofErr w:type="gramStart"/>
            <w:r w:rsidRPr="008D6368">
              <w:rPr>
                <w:rFonts w:cstheme="minorHAnsi"/>
                <w:sz w:val="20"/>
                <w:szCs w:val="20"/>
              </w:rPr>
              <w:t>;96:29</w:t>
            </w:r>
            <w:proofErr w:type="gramEnd"/>
            <w:r w:rsidRPr="008D6368">
              <w:rPr>
                <w:rFonts w:cstheme="minorHAnsi"/>
                <w:sz w:val="20"/>
                <w:szCs w:val="20"/>
              </w:rPr>
              <w:t xml:space="preserve">-35. </w:t>
            </w:r>
          </w:p>
          <w:p w14:paraId="46C2F329" w14:textId="77777777" w:rsidR="008D6368" w:rsidRPr="008D6368" w:rsidRDefault="008D6368" w:rsidP="008D6368">
            <w:pPr>
              <w:spacing w:line="240" w:lineRule="auto"/>
              <w:contextualSpacing/>
              <w:rPr>
                <w:rFonts w:cstheme="minorHAnsi"/>
                <w:sz w:val="20"/>
                <w:szCs w:val="20"/>
              </w:rPr>
            </w:pPr>
          </w:p>
          <w:p w14:paraId="6E983FEF" w14:textId="3FF74489" w:rsidR="00C766F1" w:rsidRDefault="00C766F1" w:rsidP="008D6368">
            <w:pPr>
              <w:spacing w:line="240" w:lineRule="auto"/>
              <w:contextualSpacing/>
              <w:rPr>
                <w:rFonts w:cstheme="minorHAnsi"/>
                <w:sz w:val="20"/>
                <w:szCs w:val="20"/>
              </w:rPr>
            </w:pPr>
            <w:r w:rsidRPr="008D6368">
              <w:rPr>
                <w:rFonts w:cstheme="minorHAnsi"/>
                <w:sz w:val="20"/>
                <w:szCs w:val="20"/>
              </w:rPr>
              <w:t xml:space="preserve">Tuuli M G, </w:t>
            </w:r>
            <w:proofErr w:type="spellStart"/>
            <w:r w:rsidRPr="008D6368">
              <w:rPr>
                <w:rFonts w:cstheme="minorHAnsi"/>
                <w:sz w:val="20"/>
                <w:szCs w:val="20"/>
              </w:rPr>
              <w:t>Rampersad</w:t>
            </w:r>
            <w:proofErr w:type="spellEnd"/>
            <w:r w:rsidRPr="008D6368">
              <w:rPr>
                <w:rFonts w:cstheme="minorHAnsi"/>
                <w:sz w:val="20"/>
                <w:szCs w:val="20"/>
              </w:rPr>
              <w:t xml:space="preserve"> RM, Carbone JF, </w:t>
            </w:r>
            <w:proofErr w:type="spellStart"/>
            <w:r w:rsidRPr="008D6368">
              <w:rPr>
                <w:rFonts w:cstheme="minorHAnsi"/>
                <w:sz w:val="20"/>
                <w:szCs w:val="20"/>
              </w:rPr>
              <w:t>Stamilio</w:t>
            </w:r>
            <w:proofErr w:type="spellEnd"/>
            <w:r w:rsidRPr="008D6368">
              <w:rPr>
                <w:rFonts w:cstheme="minorHAnsi"/>
                <w:sz w:val="20"/>
                <w:szCs w:val="20"/>
              </w:rPr>
              <w:t xml:space="preserve"> D, </w:t>
            </w:r>
            <w:proofErr w:type="spellStart"/>
            <w:r w:rsidRPr="008D6368">
              <w:rPr>
                <w:rFonts w:cstheme="minorHAnsi"/>
                <w:sz w:val="20"/>
                <w:szCs w:val="20"/>
              </w:rPr>
              <w:t>Macones</w:t>
            </w:r>
            <w:proofErr w:type="spellEnd"/>
            <w:r w:rsidRPr="008D6368">
              <w:rPr>
                <w:rFonts w:cstheme="minorHAnsi"/>
                <w:sz w:val="20"/>
                <w:szCs w:val="20"/>
              </w:rPr>
              <w:t xml:space="preserve"> GA, </w:t>
            </w:r>
            <w:proofErr w:type="spellStart"/>
            <w:r w:rsidRPr="008D6368">
              <w:rPr>
                <w:rFonts w:cstheme="minorHAnsi"/>
                <w:sz w:val="20"/>
                <w:szCs w:val="20"/>
              </w:rPr>
              <w:t>Odibo</w:t>
            </w:r>
            <w:proofErr w:type="spellEnd"/>
            <w:r w:rsidRPr="008D6368">
              <w:rPr>
                <w:rFonts w:cstheme="minorHAnsi"/>
                <w:sz w:val="20"/>
                <w:szCs w:val="20"/>
              </w:rPr>
              <w:t xml:space="preserve"> AO. </w:t>
            </w:r>
            <w:hyperlink r:id="rId24" w:history="1">
              <w:r w:rsidRPr="008D6368">
                <w:rPr>
                  <w:rStyle w:val="Hyperlink"/>
                  <w:rFonts w:cstheme="minorHAnsi"/>
                  <w:bCs/>
                  <w:sz w:val="20"/>
                  <w:szCs w:val="20"/>
                </w:rPr>
                <w:t xml:space="preserve">Staples Compared With Subcuticular Suture for Skin Closure After Cesarean Delivery </w:t>
              </w:r>
              <w:r w:rsidRPr="008D6368">
                <w:rPr>
                  <w:rStyle w:val="Hyperlink"/>
                  <w:rFonts w:cstheme="minorHAnsi"/>
                  <w:i/>
                  <w:iCs/>
                  <w:sz w:val="20"/>
                  <w:szCs w:val="20"/>
                </w:rPr>
                <w:t>A Systematic Review and Meta-Analysis</w:t>
              </w:r>
            </w:hyperlink>
            <w:r w:rsidRPr="008D6368">
              <w:rPr>
                <w:rFonts w:cstheme="minorHAnsi"/>
                <w:i/>
                <w:iCs/>
                <w:sz w:val="20"/>
                <w:szCs w:val="20"/>
              </w:rPr>
              <w:t xml:space="preserve">. </w:t>
            </w:r>
            <w:proofErr w:type="spellStart"/>
            <w:r w:rsidRPr="008D6368">
              <w:rPr>
                <w:rFonts w:cstheme="minorHAnsi"/>
                <w:iCs/>
                <w:sz w:val="20"/>
                <w:szCs w:val="20"/>
              </w:rPr>
              <w:t>Obstet</w:t>
            </w:r>
            <w:proofErr w:type="spellEnd"/>
            <w:r w:rsidRPr="008D6368">
              <w:rPr>
                <w:rFonts w:cstheme="minorHAnsi"/>
                <w:iCs/>
                <w:sz w:val="20"/>
                <w:szCs w:val="20"/>
              </w:rPr>
              <w:t xml:space="preserve"> </w:t>
            </w:r>
            <w:proofErr w:type="spellStart"/>
            <w:r w:rsidRPr="008D6368">
              <w:rPr>
                <w:rFonts w:cstheme="minorHAnsi"/>
                <w:iCs/>
                <w:sz w:val="20"/>
                <w:szCs w:val="20"/>
              </w:rPr>
              <w:t>Gynec</w:t>
            </w:r>
            <w:proofErr w:type="spellEnd"/>
            <w:r w:rsidRPr="008D6368">
              <w:rPr>
                <w:rFonts w:cstheme="minorHAnsi"/>
                <w:iCs/>
                <w:sz w:val="20"/>
                <w:szCs w:val="20"/>
              </w:rPr>
              <w:t xml:space="preserve"> 2011; 117:682-90.</w:t>
            </w:r>
            <w:r w:rsidRPr="008D6368">
              <w:rPr>
                <w:rFonts w:cstheme="minorHAnsi"/>
                <w:sz w:val="20"/>
                <w:szCs w:val="20"/>
              </w:rPr>
              <w:t xml:space="preserve"> </w:t>
            </w:r>
          </w:p>
          <w:p w14:paraId="0C0D110B" w14:textId="77777777" w:rsidR="008D6368" w:rsidRPr="008D6368" w:rsidRDefault="008D6368" w:rsidP="008D6368">
            <w:pPr>
              <w:spacing w:line="240" w:lineRule="auto"/>
              <w:contextualSpacing/>
              <w:rPr>
                <w:rFonts w:cstheme="minorHAnsi"/>
                <w:sz w:val="20"/>
                <w:szCs w:val="20"/>
              </w:rPr>
            </w:pPr>
          </w:p>
          <w:p w14:paraId="755E1EFF" w14:textId="6C537B3B" w:rsidR="00C766F1" w:rsidRDefault="00C766F1" w:rsidP="008D6368">
            <w:pPr>
              <w:spacing w:line="240" w:lineRule="auto"/>
              <w:contextualSpacing/>
              <w:rPr>
                <w:rFonts w:cstheme="minorHAnsi"/>
                <w:sz w:val="20"/>
                <w:szCs w:val="20"/>
              </w:rPr>
            </w:pPr>
            <w:proofErr w:type="spellStart"/>
            <w:r w:rsidRPr="008D6368">
              <w:rPr>
                <w:rFonts w:cstheme="minorHAnsi"/>
                <w:sz w:val="20"/>
                <w:szCs w:val="20"/>
              </w:rPr>
              <w:t>Lemeshow</w:t>
            </w:r>
            <w:proofErr w:type="spellEnd"/>
            <w:r w:rsidRPr="008D6368">
              <w:rPr>
                <w:rFonts w:cstheme="minorHAnsi"/>
                <w:sz w:val="20"/>
                <w:szCs w:val="20"/>
              </w:rPr>
              <w:t xml:space="preserve"> AR, Blum RE, Berlin JA, </w:t>
            </w:r>
            <w:proofErr w:type="spellStart"/>
            <w:r w:rsidRPr="008D6368">
              <w:rPr>
                <w:rFonts w:cstheme="minorHAnsi"/>
                <w:sz w:val="20"/>
                <w:szCs w:val="20"/>
              </w:rPr>
              <w:t>Stoto</w:t>
            </w:r>
            <w:proofErr w:type="spellEnd"/>
            <w:r w:rsidRPr="008D6368">
              <w:rPr>
                <w:rFonts w:cstheme="minorHAnsi"/>
                <w:sz w:val="20"/>
                <w:szCs w:val="20"/>
              </w:rPr>
              <w:t xml:space="preserve"> MA, Colditz GA</w:t>
            </w:r>
            <w:hyperlink r:id="rId25" w:history="1">
              <w:r w:rsidRPr="008D6368">
                <w:rPr>
                  <w:rStyle w:val="Hyperlink"/>
                  <w:rFonts w:cstheme="minorHAnsi"/>
                  <w:sz w:val="20"/>
                  <w:szCs w:val="20"/>
                </w:rPr>
                <w:t>. Searching one or two databases was insufficient for meta-analysis of observational studies</w:t>
              </w:r>
            </w:hyperlink>
            <w:r w:rsidRPr="008D6368">
              <w:rPr>
                <w:rFonts w:cstheme="minorHAnsi"/>
                <w:sz w:val="20"/>
                <w:szCs w:val="20"/>
              </w:rPr>
              <w:t xml:space="preserve">. J </w:t>
            </w:r>
            <w:proofErr w:type="spellStart"/>
            <w:r w:rsidRPr="008D6368">
              <w:rPr>
                <w:rFonts w:cstheme="minorHAnsi"/>
                <w:sz w:val="20"/>
                <w:szCs w:val="20"/>
              </w:rPr>
              <w:t>Clin</w:t>
            </w:r>
            <w:proofErr w:type="spellEnd"/>
            <w:r w:rsidRPr="008D6368">
              <w:rPr>
                <w:rFonts w:cstheme="minorHAnsi"/>
                <w:sz w:val="20"/>
                <w:szCs w:val="20"/>
              </w:rPr>
              <w:t xml:space="preserve"> </w:t>
            </w:r>
            <w:proofErr w:type="spellStart"/>
            <w:r w:rsidRPr="008D6368">
              <w:rPr>
                <w:rFonts w:cstheme="minorHAnsi"/>
                <w:sz w:val="20"/>
                <w:szCs w:val="20"/>
              </w:rPr>
              <w:t>Epidemiol</w:t>
            </w:r>
            <w:proofErr w:type="spellEnd"/>
            <w:r w:rsidRPr="008D6368">
              <w:rPr>
                <w:rFonts w:cstheme="minorHAnsi"/>
                <w:sz w:val="20"/>
                <w:szCs w:val="20"/>
              </w:rPr>
              <w:t xml:space="preserve"> 2005; 58:867-73 </w:t>
            </w:r>
          </w:p>
          <w:p w14:paraId="59AB7507" w14:textId="77777777" w:rsidR="008D6368" w:rsidRPr="008D6368" w:rsidRDefault="008D6368" w:rsidP="008D6368">
            <w:pPr>
              <w:spacing w:line="240" w:lineRule="auto"/>
              <w:contextualSpacing/>
              <w:rPr>
                <w:rFonts w:cstheme="minorHAnsi"/>
                <w:sz w:val="20"/>
                <w:szCs w:val="20"/>
              </w:rPr>
            </w:pPr>
          </w:p>
          <w:p w14:paraId="1BF1149E" w14:textId="20D85864" w:rsidR="00C766F1" w:rsidRPr="008D6368" w:rsidRDefault="00C766F1" w:rsidP="008D6368">
            <w:pPr>
              <w:spacing w:line="240" w:lineRule="auto"/>
              <w:contextualSpacing/>
              <w:rPr>
                <w:rFonts w:cstheme="minorHAnsi"/>
                <w:sz w:val="20"/>
                <w:szCs w:val="20"/>
              </w:rPr>
            </w:pPr>
            <w:r w:rsidRPr="008D6368">
              <w:rPr>
                <w:rFonts w:cstheme="minorHAnsi"/>
                <w:sz w:val="20"/>
                <w:szCs w:val="20"/>
              </w:rPr>
              <w:t>Classic article</w:t>
            </w:r>
            <w:r w:rsidR="008D6368">
              <w:rPr>
                <w:rFonts w:cstheme="minorHAnsi"/>
                <w:sz w:val="20"/>
                <w:szCs w:val="20"/>
              </w:rPr>
              <w:t>:</w:t>
            </w:r>
          </w:p>
          <w:p w14:paraId="0AB0A5B4" w14:textId="77777777" w:rsidR="00C766F1" w:rsidRPr="008D6368" w:rsidRDefault="00C766F1" w:rsidP="008D6368">
            <w:pPr>
              <w:spacing w:line="240" w:lineRule="auto"/>
              <w:contextualSpacing/>
              <w:rPr>
                <w:rFonts w:cstheme="minorHAnsi"/>
                <w:sz w:val="20"/>
                <w:szCs w:val="20"/>
              </w:rPr>
            </w:pPr>
            <w:proofErr w:type="spellStart"/>
            <w:r w:rsidRPr="008D6368">
              <w:rPr>
                <w:rFonts w:cstheme="minorHAnsi"/>
                <w:sz w:val="20"/>
                <w:szCs w:val="20"/>
              </w:rPr>
              <w:t>Dickersin</w:t>
            </w:r>
            <w:proofErr w:type="spellEnd"/>
            <w:r w:rsidRPr="008D6368">
              <w:rPr>
                <w:rFonts w:cstheme="minorHAnsi"/>
                <w:sz w:val="20"/>
                <w:szCs w:val="20"/>
              </w:rPr>
              <w:t xml:space="preserve"> K. Scherer R, Lefebvre C. </w:t>
            </w:r>
            <w:hyperlink r:id="rId26" w:history="1">
              <w:r w:rsidRPr="008D6368">
                <w:rPr>
                  <w:rStyle w:val="Hyperlink"/>
                  <w:rFonts w:cstheme="minorHAnsi"/>
                  <w:bCs/>
                  <w:sz w:val="20"/>
                  <w:szCs w:val="20"/>
                </w:rPr>
                <w:t>Systematic Reviews: Identifying relevant studies for systematic reviews</w:t>
              </w:r>
            </w:hyperlink>
            <w:r w:rsidRPr="008D6368">
              <w:rPr>
                <w:rFonts w:cstheme="minorHAnsi"/>
                <w:bCs/>
                <w:sz w:val="20"/>
                <w:szCs w:val="20"/>
              </w:rPr>
              <w:t xml:space="preserve"> </w:t>
            </w:r>
            <w:r w:rsidRPr="008D6368">
              <w:rPr>
                <w:rFonts w:cstheme="minorHAnsi"/>
                <w:sz w:val="20"/>
                <w:szCs w:val="20"/>
              </w:rPr>
              <w:t>BMJ 1994</w:t>
            </w:r>
            <w:proofErr w:type="gramStart"/>
            <w:r w:rsidRPr="008D6368">
              <w:rPr>
                <w:rFonts w:cstheme="minorHAnsi"/>
                <w:sz w:val="20"/>
                <w:szCs w:val="20"/>
              </w:rPr>
              <w:t>;309:1286</w:t>
            </w:r>
            <w:proofErr w:type="gramEnd"/>
            <w:r w:rsidRPr="008D6368">
              <w:rPr>
                <w:rFonts w:cstheme="minorHAnsi"/>
                <w:sz w:val="20"/>
                <w:szCs w:val="20"/>
              </w:rPr>
              <w:t>-91.</w:t>
            </w:r>
          </w:p>
          <w:p w14:paraId="754CC148" w14:textId="46BA8394" w:rsidR="004F68DA" w:rsidRPr="008D6368" w:rsidRDefault="004F68DA" w:rsidP="008D6368">
            <w:pPr>
              <w:spacing w:after="0" w:line="240" w:lineRule="auto"/>
              <w:contextualSpacing/>
              <w:rPr>
                <w:rFonts w:cstheme="minorHAnsi"/>
                <w:sz w:val="20"/>
                <w:szCs w:val="20"/>
              </w:rPr>
            </w:pPr>
          </w:p>
        </w:tc>
      </w:tr>
      <w:tr w:rsidR="004F68DA" w:rsidRPr="008D6368" w14:paraId="2824BE7B" w14:textId="1C9FE7A9" w:rsidTr="00557CE3">
        <w:trPr>
          <w:trHeight w:val="432"/>
        </w:trPr>
        <w:tc>
          <w:tcPr>
            <w:tcW w:w="741" w:type="dxa"/>
            <w:tcBorders>
              <w:top w:val="single" w:sz="2" w:space="0" w:color="000000"/>
              <w:bottom w:val="single" w:sz="2" w:space="0" w:color="000000"/>
            </w:tcBorders>
          </w:tcPr>
          <w:p w14:paraId="56D12F49" w14:textId="77777777" w:rsidR="004F68DA" w:rsidRPr="008D6368" w:rsidRDefault="004F68DA" w:rsidP="00557CE3">
            <w:pPr>
              <w:spacing w:after="0" w:line="240" w:lineRule="auto"/>
              <w:contextualSpacing/>
              <w:rPr>
                <w:rFonts w:cstheme="minorHAnsi"/>
                <w:b/>
                <w:sz w:val="20"/>
                <w:szCs w:val="20"/>
              </w:rPr>
            </w:pPr>
            <w:r w:rsidRPr="008D6368">
              <w:rPr>
                <w:rFonts w:cstheme="minorHAnsi"/>
                <w:b/>
                <w:sz w:val="20"/>
                <w:szCs w:val="20"/>
              </w:rPr>
              <w:lastRenderedPageBreak/>
              <w:t>Class 3</w:t>
            </w:r>
          </w:p>
        </w:tc>
        <w:tc>
          <w:tcPr>
            <w:tcW w:w="785" w:type="dxa"/>
            <w:tcBorders>
              <w:top w:val="single" w:sz="2" w:space="0" w:color="000000"/>
              <w:bottom w:val="single" w:sz="2" w:space="0" w:color="000000"/>
            </w:tcBorders>
          </w:tcPr>
          <w:p w14:paraId="25024BBA" w14:textId="2BCC7BE5" w:rsidR="004F68DA" w:rsidRPr="008D6368" w:rsidRDefault="00E87BDF" w:rsidP="00557CE3">
            <w:pPr>
              <w:spacing w:after="0" w:line="240" w:lineRule="auto"/>
              <w:contextualSpacing/>
              <w:rPr>
                <w:rFonts w:cstheme="minorHAnsi"/>
                <w:sz w:val="20"/>
                <w:szCs w:val="20"/>
              </w:rPr>
            </w:pPr>
            <w:r w:rsidRPr="008D6368">
              <w:rPr>
                <w:rFonts w:cstheme="minorHAnsi"/>
                <w:sz w:val="20"/>
                <w:szCs w:val="20"/>
              </w:rPr>
              <w:t>Jan</w:t>
            </w:r>
            <w:r w:rsidR="0043650C" w:rsidRPr="008D6368">
              <w:rPr>
                <w:rFonts w:cstheme="minorHAnsi"/>
                <w:sz w:val="20"/>
                <w:szCs w:val="20"/>
              </w:rPr>
              <w:t xml:space="preserve"> </w:t>
            </w:r>
            <w:r w:rsidRPr="008D6368">
              <w:rPr>
                <w:rFonts w:cstheme="minorHAnsi"/>
                <w:sz w:val="20"/>
                <w:szCs w:val="20"/>
              </w:rPr>
              <w:t>3</w:t>
            </w:r>
            <w:r w:rsidR="0043650C" w:rsidRPr="008D6368">
              <w:rPr>
                <w:rFonts w:cstheme="minorHAnsi"/>
                <w:sz w:val="20"/>
                <w:szCs w:val="20"/>
              </w:rPr>
              <w:t>1</w:t>
            </w:r>
          </w:p>
          <w:p w14:paraId="641FDE8F" w14:textId="77777777" w:rsidR="004F68DA" w:rsidRPr="008D6368" w:rsidRDefault="004F68DA" w:rsidP="00557CE3">
            <w:pPr>
              <w:spacing w:after="0" w:line="240" w:lineRule="auto"/>
              <w:contextualSpacing/>
              <w:rPr>
                <w:rFonts w:cstheme="minorHAnsi"/>
                <w:sz w:val="20"/>
                <w:szCs w:val="20"/>
              </w:rPr>
            </w:pPr>
          </w:p>
          <w:p w14:paraId="35A9F26F" w14:textId="77777777" w:rsidR="004F68DA" w:rsidRPr="008D6368" w:rsidRDefault="004F68DA" w:rsidP="00557CE3">
            <w:pPr>
              <w:spacing w:after="0" w:line="240" w:lineRule="auto"/>
              <w:contextualSpacing/>
              <w:rPr>
                <w:rFonts w:cstheme="minorHAnsi"/>
                <w:sz w:val="20"/>
                <w:szCs w:val="20"/>
              </w:rPr>
            </w:pPr>
          </w:p>
        </w:tc>
        <w:tc>
          <w:tcPr>
            <w:tcW w:w="1559" w:type="dxa"/>
            <w:tcBorders>
              <w:top w:val="single" w:sz="2" w:space="0" w:color="000000"/>
              <w:bottom w:val="single" w:sz="2" w:space="0" w:color="000000"/>
            </w:tcBorders>
          </w:tcPr>
          <w:p w14:paraId="2F2AF420" w14:textId="2C86C9C9" w:rsidR="0043650C" w:rsidRPr="008D6368" w:rsidRDefault="0043650C" w:rsidP="00557CE3">
            <w:pPr>
              <w:spacing w:after="0" w:line="240" w:lineRule="auto"/>
              <w:contextualSpacing/>
              <w:rPr>
                <w:rFonts w:cstheme="minorHAnsi"/>
                <w:sz w:val="20"/>
                <w:szCs w:val="20"/>
              </w:rPr>
            </w:pPr>
            <w:r w:rsidRPr="008D6368">
              <w:rPr>
                <w:rFonts w:cstheme="minorHAnsi"/>
                <w:sz w:val="20"/>
                <w:szCs w:val="20"/>
              </w:rPr>
              <w:t>STUDENT PRESENTIONS</w:t>
            </w:r>
          </w:p>
          <w:p w14:paraId="49F7E62E" w14:textId="01E0C702" w:rsidR="0043650C" w:rsidRPr="008D6368" w:rsidRDefault="0043650C" w:rsidP="00557CE3">
            <w:pPr>
              <w:spacing w:after="0" w:line="240" w:lineRule="auto"/>
              <w:contextualSpacing/>
              <w:rPr>
                <w:rFonts w:cstheme="minorHAnsi"/>
                <w:sz w:val="20"/>
                <w:szCs w:val="20"/>
              </w:rPr>
            </w:pPr>
            <w:r w:rsidRPr="008D6368">
              <w:rPr>
                <w:rFonts w:cstheme="minorHAnsi"/>
                <w:sz w:val="20"/>
                <w:szCs w:val="20"/>
              </w:rPr>
              <w:t>PRELIMINARY TOPIC</w:t>
            </w:r>
          </w:p>
          <w:p w14:paraId="486364F4" w14:textId="3596044A" w:rsidR="00733322" w:rsidRPr="008D6368" w:rsidRDefault="00733322" w:rsidP="00557CE3">
            <w:pPr>
              <w:spacing w:after="0" w:line="240" w:lineRule="auto"/>
              <w:contextualSpacing/>
              <w:rPr>
                <w:rFonts w:cstheme="minorHAnsi"/>
                <w:sz w:val="20"/>
                <w:szCs w:val="20"/>
              </w:rPr>
            </w:pPr>
          </w:p>
        </w:tc>
        <w:tc>
          <w:tcPr>
            <w:tcW w:w="785" w:type="dxa"/>
            <w:tcBorders>
              <w:top w:val="single" w:sz="2" w:space="0" w:color="000000"/>
              <w:bottom w:val="single" w:sz="2" w:space="0" w:color="000000"/>
            </w:tcBorders>
          </w:tcPr>
          <w:p w14:paraId="1C6CAB2A" w14:textId="5155A512" w:rsidR="004F68DA" w:rsidRPr="008D6368" w:rsidRDefault="0043650C" w:rsidP="008D6368">
            <w:pPr>
              <w:spacing w:after="0" w:line="240" w:lineRule="auto"/>
              <w:contextualSpacing/>
              <w:rPr>
                <w:rFonts w:cstheme="minorHAnsi"/>
                <w:b/>
                <w:sz w:val="20"/>
                <w:szCs w:val="20"/>
              </w:rPr>
            </w:pPr>
            <w:r w:rsidRPr="008D6368">
              <w:rPr>
                <w:rFonts w:cstheme="minorHAnsi"/>
                <w:b/>
                <w:sz w:val="20"/>
                <w:szCs w:val="20"/>
              </w:rPr>
              <w:t>HW 1: Preliminary Topic</w:t>
            </w:r>
          </w:p>
        </w:tc>
        <w:tc>
          <w:tcPr>
            <w:tcW w:w="6066" w:type="dxa"/>
            <w:tcBorders>
              <w:top w:val="single" w:sz="2" w:space="0" w:color="000000"/>
              <w:bottom w:val="single" w:sz="2" w:space="0" w:color="000000"/>
            </w:tcBorders>
          </w:tcPr>
          <w:p w14:paraId="3D8705A7" w14:textId="20DEBFB1" w:rsidR="004F68DA" w:rsidRPr="008D6368" w:rsidRDefault="004F68DA" w:rsidP="008D6368">
            <w:pPr>
              <w:spacing w:after="0" w:line="240" w:lineRule="auto"/>
              <w:contextualSpacing/>
              <w:rPr>
                <w:rFonts w:cstheme="minorHAnsi"/>
                <w:sz w:val="20"/>
                <w:szCs w:val="20"/>
              </w:rPr>
            </w:pPr>
          </w:p>
        </w:tc>
      </w:tr>
      <w:tr w:rsidR="004F68DA" w:rsidRPr="008D6368" w14:paraId="6DDBED19" w14:textId="7FF0A78A" w:rsidTr="00557CE3">
        <w:trPr>
          <w:trHeight w:val="432"/>
        </w:trPr>
        <w:tc>
          <w:tcPr>
            <w:tcW w:w="741" w:type="dxa"/>
            <w:tcBorders>
              <w:top w:val="single" w:sz="2" w:space="0" w:color="000000"/>
              <w:bottom w:val="single" w:sz="2" w:space="0" w:color="000000"/>
            </w:tcBorders>
          </w:tcPr>
          <w:p w14:paraId="24AC465C" w14:textId="77777777" w:rsidR="004F68DA" w:rsidRPr="008D6368" w:rsidRDefault="004F68DA" w:rsidP="00557CE3">
            <w:pPr>
              <w:spacing w:after="0" w:line="240" w:lineRule="auto"/>
              <w:contextualSpacing/>
              <w:rPr>
                <w:rFonts w:cstheme="minorHAnsi"/>
                <w:b/>
                <w:sz w:val="20"/>
                <w:szCs w:val="20"/>
              </w:rPr>
            </w:pPr>
            <w:r w:rsidRPr="008D6368">
              <w:rPr>
                <w:rFonts w:cstheme="minorHAnsi"/>
                <w:b/>
                <w:sz w:val="20"/>
                <w:szCs w:val="20"/>
              </w:rPr>
              <w:t>Class 4</w:t>
            </w:r>
          </w:p>
        </w:tc>
        <w:tc>
          <w:tcPr>
            <w:tcW w:w="785" w:type="dxa"/>
            <w:tcBorders>
              <w:top w:val="single" w:sz="2" w:space="0" w:color="000000"/>
              <w:bottom w:val="single" w:sz="2" w:space="0" w:color="000000"/>
            </w:tcBorders>
          </w:tcPr>
          <w:p w14:paraId="0013EA74" w14:textId="5EB9D4B5" w:rsidR="004F68DA" w:rsidRPr="008D6368" w:rsidRDefault="00E87BDF" w:rsidP="00557CE3">
            <w:pPr>
              <w:spacing w:after="0" w:line="240" w:lineRule="auto"/>
              <w:contextualSpacing/>
              <w:rPr>
                <w:rFonts w:cstheme="minorHAnsi"/>
                <w:sz w:val="20"/>
                <w:szCs w:val="20"/>
              </w:rPr>
            </w:pPr>
            <w:r w:rsidRPr="008D6368">
              <w:rPr>
                <w:rFonts w:cstheme="minorHAnsi"/>
                <w:sz w:val="20"/>
                <w:szCs w:val="20"/>
              </w:rPr>
              <w:t>Feb 7</w:t>
            </w:r>
          </w:p>
          <w:p w14:paraId="43D74E1E" w14:textId="77777777" w:rsidR="004F68DA" w:rsidRPr="008D6368" w:rsidRDefault="004F68DA" w:rsidP="00557CE3">
            <w:pPr>
              <w:spacing w:after="0" w:line="240" w:lineRule="auto"/>
              <w:contextualSpacing/>
              <w:rPr>
                <w:rFonts w:cstheme="minorHAnsi"/>
                <w:sz w:val="20"/>
                <w:szCs w:val="20"/>
              </w:rPr>
            </w:pPr>
          </w:p>
        </w:tc>
        <w:tc>
          <w:tcPr>
            <w:tcW w:w="1559" w:type="dxa"/>
            <w:tcBorders>
              <w:top w:val="single" w:sz="2" w:space="0" w:color="000000"/>
              <w:bottom w:val="single" w:sz="2" w:space="0" w:color="000000"/>
            </w:tcBorders>
          </w:tcPr>
          <w:p w14:paraId="6E2072AB" w14:textId="788F503B" w:rsidR="004F68DA" w:rsidRPr="008D6368" w:rsidRDefault="00CB315F" w:rsidP="00557CE3">
            <w:pPr>
              <w:spacing w:after="0" w:line="240" w:lineRule="auto"/>
              <w:contextualSpacing/>
              <w:rPr>
                <w:rFonts w:cstheme="minorHAnsi"/>
                <w:sz w:val="20"/>
                <w:szCs w:val="20"/>
              </w:rPr>
            </w:pPr>
            <w:r w:rsidRPr="008D6368">
              <w:rPr>
                <w:rFonts w:cstheme="minorHAnsi"/>
                <w:sz w:val="20"/>
                <w:szCs w:val="20"/>
              </w:rPr>
              <w:t>Statistical methods: effect sizes, basic meta-analysis calculations</w:t>
            </w:r>
          </w:p>
        </w:tc>
        <w:tc>
          <w:tcPr>
            <w:tcW w:w="785" w:type="dxa"/>
            <w:tcBorders>
              <w:top w:val="single" w:sz="2" w:space="0" w:color="000000"/>
              <w:bottom w:val="single" w:sz="2" w:space="0" w:color="000000"/>
            </w:tcBorders>
          </w:tcPr>
          <w:p w14:paraId="6722FB20" w14:textId="46CCC2D9" w:rsidR="004F68DA" w:rsidRPr="008D6368" w:rsidRDefault="0043650C" w:rsidP="008D6368">
            <w:pPr>
              <w:spacing w:after="0" w:line="240" w:lineRule="auto"/>
              <w:contextualSpacing/>
              <w:rPr>
                <w:rFonts w:cstheme="minorHAnsi"/>
                <w:b/>
                <w:sz w:val="20"/>
                <w:szCs w:val="20"/>
              </w:rPr>
            </w:pPr>
            <w:r w:rsidRPr="008D6368">
              <w:rPr>
                <w:rFonts w:cstheme="minorHAnsi"/>
                <w:b/>
                <w:sz w:val="20"/>
                <w:szCs w:val="20"/>
              </w:rPr>
              <w:t>HW 2: Library Assignment</w:t>
            </w:r>
          </w:p>
        </w:tc>
        <w:tc>
          <w:tcPr>
            <w:tcW w:w="6066" w:type="dxa"/>
            <w:tcBorders>
              <w:top w:val="single" w:sz="2" w:space="0" w:color="000000"/>
              <w:bottom w:val="single" w:sz="2" w:space="0" w:color="000000"/>
            </w:tcBorders>
          </w:tcPr>
          <w:p w14:paraId="79371DE5" w14:textId="77777777" w:rsidR="00C766F1" w:rsidRPr="008D6368" w:rsidRDefault="00C766F1" w:rsidP="008D6368">
            <w:pPr>
              <w:spacing w:line="240" w:lineRule="auto"/>
              <w:contextualSpacing/>
              <w:rPr>
                <w:rFonts w:cstheme="minorHAnsi"/>
                <w:sz w:val="20"/>
                <w:szCs w:val="20"/>
              </w:rPr>
            </w:pPr>
            <w:r w:rsidRPr="008D6368">
              <w:rPr>
                <w:rFonts w:cstheme="minorHAnsi"/>
                <w:sz w:val="20"/>
                <w:szCs w:val="20"/>
              </w:rPr>
              <w:t>Systematic Reviews in Health Care: Meta-analysis in Context, 2</w:t>
            </w:r>
            <w:r w:rsidRPr="008D6368">
              <w:rPr>
                <w:rFonts w:cstheme="minorHAnsi"/>
                <w:sz w:val="20"/>
                <w:szCs w:val="20"/>
                <w:vertAlign w:val="superscript"/>
              </w:rPr>
              <w:t>nd</w:t>
            </w:r>
            <w:r w:rsidRPr="008D6368">
              <w:rPr>
                <w:rFonts w:cstheme="minorHAnsi"/>
                <w:sz w:val="20"/>
                <w:szCs w:val="20"/>
              </w:rPr>
              <w:t xml:space="preserve"> Edition, </w:t>
            </w:r>
            <w:proofErr w:type="spellStart"/>
            <w:r w:rsidRPr="008D6368">
              <w:rPr>
                <w:rFonts w:cstheme="minorHAnsi"/>
                <w:sz w:val="20"/>
                <w:szCs w:val="20"/>
              </w:rPr>
              <w:t>Mattias</w:t>
            </w:r>
            <w:proofErr w:type="spellEnd"/>
            <w:r w:rsidRPr="008D6368">
              <w:rPr>
                <w:rFonts w:cstheme="minorHAnsi"/>
                <w:sz w:val="20"/>
                <w:szCs w:val="20"/>
              </w:rPr>
              <w:t xml:space="preserve"> Egger, George Davey Smith and Douglas Altman </w:t>
            </w:r>
            <w:proofErr w:type="spellStart"/>
            <w:r w:rsidRPr="008D6368">
              <w:rPr>
                <w:rFonts w:cstheme="minorHAnsi"/>
                <w:sz w:val="20"/>
                <w:szCs w:val="20"/>
              </w:rPr>
              <w:t>eds</w:t>
            </w:r>
            <w:proofErr w:type="spellEnd"/>
            <w:r w:rsidRPr="008D6368">
              <w:rPr>
                <w:rFonts w:cstheme="minorHAnsi"/>
                <w:sz w:val="20"/>
                <w:szCs w:val="20"/>
              </w:rPr>
              <w:t>, BMJ Books 2011; chapters 15 &amp; 16.</w:t>
            </w:r>
          </w:p>
          <w:p w14:paraId="5282D526" w14:textId="77777777" w:rsidR="00C766F1" w:rsidRPr="008D6368" w:rsidRDefault="00C766F1" w:rsidP="008D6368">
            <w:pPr>
              <w:widowControl w:val="0"/>
              <w:autoSpaceDE w:val="0"/>
              <w:autoSpaceDN w:val="0"/>
              <w:adjustRightInd w:val="0"/>
              <w:spacing w:line="240" w:lineRule="auto"/>
              <w:contextualSpacing/>
              <w:rPr>
                <w:rFonts w:cstheme="minorHAnsi"/>
                <w:sz w:val="20"/>
                <w:szCs w:val="20"/>
              </w:rPr>
            </w:pPr>
          </w:p>
          <w:p w14:paraId="0037EF7F" w14:textId="77777777" w:rsidR="00C766F1" w:rsidRPr="008D6368" w:rsidRDefault="00C766F1" w:rsidP="008D6368">
            <w:pPr>
              <w:widowControl w:val="0"/>
              <w:autoSpaceDE w:val="0"/>
              <w:autoSpaceDN w:val="0"/>
              <w:adjustRightInd w:val="0"/>
              <w:spacing w:line="240" w:lineRule="auto"/>
              <w:contextualSpacing/>
              <w:rPr>
                <w:rFonts w:cstheme="minorHAnsi"/>
                <w:sz w:val="20"/>
                <w:szCs w:val="20"/>
              </w:rPr>
            </w:pPr>
            <w:r w:rsidRPr="008D6368">
              <w:rPr>
                <w:rFonts w:cstheme="minorHAnsi"/>
                <w:sz w:val="20"/>
                <w:szCs w:val="20"/>
              </w:rPr>
              <w:t xml:space="preserve">Normand S-L. </w:t>
            </w:r>
            <w:hyperlink r:id="rId27" w:history="1">
              <w:r w:rsidRPr="008D6368">
                <w:rPr>
                  <w:rStyle w:val="Hyperlink"/>
                  <w:rFonts w:cstheme="minorHAnsi"/>
                  <w:sz w:val="20"/>
                  <w:szCs w:val="20"/>
                </w:rPr>
                <w:t>Tutorial in Biostatistics Meta-Analysis: Formulating, Evaluating, Combining, and reporting</w:t>
              </w:r>
            </w:hyperlink>
            <w:r w:rsidRPr="008D6368">
              <w:rPr>
                <w:rFonts w:cstheme="minorHAnsi"/>
                <w:sz w:val="20"/>
                <w:szCs w:val="20"/>
              </w:rPr>
              <w:t>. Statist.Med.1999</w:t>
            </w:r>
            <w:proofErr w:type="gramStart"/>
            <w:r w:rsidRPr="008D6368">
              <w:rPr>
                <w:rFonts w:cstheme="minorHAnsi"/>
                <w:sz w:val="20"/>
                <w:szCs w:val="20"/>
              </w:rPr>
              <w:t>;18:321</w:t>
            </w:r>
            <w:proofErr w:type="gramEnd"/>
            <w:r w:rsidRPr="008D6368">
              <w:rPr>
                <w:rFonts w:cstheme="minorHAnsi"/>
                <w:sz w:val="20"/>
                <w:szCs w:val="20"/>
              </w:rPr>
              <w:t xml:space="preserve">-359. </w:t>
            </w:r>
          </w:p>
          <w:p w14:paraId="7CEB82B2" w14:textId="77777777" w:rsidR="00C766F1" w:rsidRPr="008D6368" w:rsidRDefault="00C766F1" w:rsidP="008D6368">
            <w:pPr>
              <w:widowControl w:val="0"/>
              <w:autoSpaceDE w:val="0"/>
              <w:autoSpaceDN w:val="0"/>
              <w:adjustRightInd w:val="0"/>
              <w:spacing w:line="240" w:lineRule="auto"/>
              <w:contextualSpacing/>
              <w:rPr>
                <w:rFonts w:cstheme="minorHAnsi"/>
                <w:sz w:val="20"/>
                <w:szCs w:val="20"/>
              </w:rPr>
            </w:pPr>
          </w:p>
          <w:p w14:paraId="7201E345" w14:textId="77777777" w:rsidR="00C766F1" w:rsidRPr="008D6368" w:rsidRDefault="00C766F1" w:rsidP="008D6368">
            <w:pPr>
              <w:spacing w:line="240" w:lineRule="auto"/>
              <w:contextualSpacing/>
              <w:rPr>
                <w:rFonts w:cstheme="minorHAnsi"/>
                <w:sz w:val="20"/>
                <w:szCs w:val="20"/>
              </w:rPr>
            </w:pPr>
            <w:r w:rsidRPr="008D6368">
              <w:rPr>
                <w:rFonts w:cstheme="minorHAnsi"/>
                <w:sz w:val="20"/>
                <w:szCs w:val="20"/>
              </w:rPr>
              <w:t xml:space="preserve">Laird NM, and </w:t>
            </w:r>
            <w:proofErr w:type="spellStart"/>
            <w:r w:rsidRPr="008D6368">
              <w:rPr>
                <w:rFonts w:cstheme="minorHAnsi"/>
                <w:sz w:val="20"/>
                <w:szCs w:val="20"/>
              </w:rPr>
              <w:t>Mosteller</w:t>
            </w:r>
            <w:proofErr w:type="spellEnd"/>
            <w:r w:rsidRPr="008D6368">
              <w:rPr>
                <w:rFonts w:cstheme="minorHAnsi"/>
                <w:sz w:val="20"/>
                <w:szCs w:val="20"/>
              </w:rPr>
              <w:t xml:space="preserve"> F. Some statistical methods for combining experimental results. </w:t>
            </w:r>
            <w:proofErr w:type="spellStart"/>
            <w:r w:rsidRPr="008D6368">
              <w:rPr>
                <w:rFonts w:cstheme="minorHAnsi"/>
                <w:sz w:val="20"/>
                <w:szCs w:val="20"/>
              </w:rPr>
              <w:t>Int</w:t>
            </w:r>
            <w:proofErr w:type="spellEnd"/>
            <w:r w:rsidRPr="008D6368">
              <w:rPr>
                <w:rFonts w:cstheme="minorHAnsi"/>
                <w:sz w:val="20"/>
                <w:szCs w:val="20"/>
              </w:rPr>
              <w:t xml:space="preserve"> J </w:t>
            </w:r>
            <w:proofErr w:type="spellStart"/>
            <w:r w:rsidRPr="008D6368">
              <w:rPr>
                <w:rFonts w:cstheme="minorHAnsi"/>
                <w:sz w:val="20"/>
                <w:szCs w:val="20"/>
              </w:rPr>
              <w:t>Technol</w:t>
            </w:r>
            <w:proofErr w:type="spellEnd"/>
            <w:r w:rsidRPr="008D6368">
              <w:rPr>
                <w:rFonts w:cstheme="minorHAnsi"/>
                <w:sz w:val="20"/>
                <w:szCs w:val="20"/>
              </w:rPr>
              <w:t xml:space="preserve"> Assess health Care 1990</w:t>
            </w:r>
            <w:proofErr w:type="gramStart"/>
            <w:r w:rsidRPr="008D6368">
              <w:rPr>
                <w:rFonts w:cstheme="minorHAnsi"/>
                <w:sz w:val="20"/>
                <w:szCs w:val="20"/>
              </w:rPr>
              <w:t>;6</w:t>
            </w:r>
            <w:proofErr w:type="gramEnd"/>
            <w:r w:rsidRPr="008D6368">
              <w:rPr>
                <w:rFonts w:cstheme="minorHAnsi"/>
                <w:sz w:val="20"/>
                <w:szCs w:val="20"/>
              </w:rPr>
              <w:t xml:space="preserve">(1):5-30. </w:t>
            </w:r>
          </w:p>
          <w:p w14:paraId="4D78B8FD" w14:textId="77777777" w:rsidR="00C766F1" w:rsidRPr="008D6368" w:rsidRDefault="00C766F1" w:rsidP="008D6368">
            <w:pPr>
              <w:spacing w:line="240" w:lineRule="auto"/>
              <w:contextualSpacing/>
              <w:rPr>
                <w:rFonts w:cstheme="minorHAnsi"/>
                <w:sz w:val="20"/>
                <w:szCs w:val="20"/>
              </w:rPr>
            </w:pPr>
            <w:r w:rsidRPr="008D6368">
              <w:rPr>
                <w:rFonts w:cstheme="minorHAnsi"/>
                <w:sz w:val="20"/>
                <w:szCs w:val="20"/>
              </w:rPr>
              <w:t xml:space="preserve"> </w:t>
            </w:r>
          </w:p>
          <w:p w14:paraId="2B5DA38B" w14:textId="77777777" w:rsidR="00C766F1" w:rsidRPr="008D6368" w:rsidRDefault="00C766F1" w:rsidP="008D6368">
            <w:pPr>
              <w:spacing w:line="240" w:lineRule="auto"/>
              <w:contextualSpacing/>
              <w:rPr>
                <w:rFonts w:cstheme="minorHAnsi"/>
                <w:i/>
                <w:sz w:val="20"/>
                <w:szCs w:val="20"/>
              </w:rPr>
            </w:pPr>
            <w:r w:rsidRPr="008D6368">
              <w:rPr>
                <w:rFonts w:cstheme="minorHAnsi"/>
                <w:i/>
                <w:sz w:val="20"/>
                <w:szCs w:val="20"/>
              </w:rPr>
              <w:t xml:space="preserve">Additional readings: </w:t>
            </w:r>
          </w:p>
          <w:p w14:paraId="4257D8F9" w14:textId="77777777" w:rsidR="00C766F1" w:rsidRPr="008D6368" w:rsidRDefault="00C766F1" w:rsidP="008D6368">
            <w:pPr>
              <w:spacing w:line="240" w:lineRule="auto"/>
              <w:contextualSpacing/>
              <w:rPr>
                <w:rFonts w:cstheme="minorHAnsi"/>
                <w:sz w:val="20"/>
                <w:szCs w:val="20"/>
              </w:rPr>
            </w:pPr>
            <w:proofErr w:type="spellStart"/>
            <w:r w:rsidRPr="008D6368">
              <w:rPr>
                <w:rFonts w:cstheme="minorHAnsi"/>
                <w:sz w:val="20"/>
                <w:szCs w:val="20"/>
              </w:rPr>
              <w:t>Borenstein</w:t>
            </w:r>
            <w:proofErr w:type="spellEnd"/>
            <w:r w:rsidRPr="008D6368">
              <w:rPr>
                <w:rFonts w:cstheme="minorHAnsi"/>
                <w:sz w:val="20"/>
                <w:szCs w:val="20"/>
              </w:rPr>
              <w:t>, Chapters 3-14</w:t>
            </w:r>
          </w:p>
          <w:p w14:paraId="4E584B19" w14:textId="21B56B48" w:rsidR="004F68DA" w:rsidRPr="008D6368" w:rsidRDefault="00C766F1" w:rsidP="008D6368">
            <w:pPr>
              <w:spacing w:line="240" w:lineRule="auto"/>
              <w:contextualSpacing/>
              <w:rPr>
                <w:rFonts w:cstheme="minorHAnsi"/>
                <w:b/>
                <w:sz w:val="20"/>
                <w:szCs w:val="20"/>
              </w:rPr>
            </w:pPr>
            <w:r w:rsidRPr="008D6368">
              <w:rPr>
                <w:rFonts w:cstheme="minorHAnsi"/>
                <w:i/>
                <w:sz w:val="20"/>
                <w:szCs w:val="20"/>
              </w:rPr>
              <w:t>Using meta-analysis for research synthesis: pooling data from several studies.  Biostatistics in Clinical Medicine, Chapter 14, 332-360.</w:t>
            </w:r>
          </w:p>
        </w:tc>
      </w:tr>
      <w:tr w:rsidR="004F68DA" w:rsidRPr="008D6368" w14:paraId="5AF6A2AE" w14:textId="2C45E290" w:rsidTr="00557CE3">
        <w:trPr>
          <w:trHeight w:val="432"/>
        </w:trPr>
        <w:tc>
          <w:tcPr>
            <w:tcW w:w="741" w:type="dxa"/>
            <w:tcBorders>
              <w:top w:val="single" w:sz="2" w:space="0" w:color="000000"/>
              <w:bottom w:val="single" w:sz="2" w:space="0" w:color="000000"/>
            </w:tcBorders>
          </w:tcPr>
          <w:p w14:paraId="59089B34" w14:textId="77777777" w:rsidR="00733322" w:rsidRPr="008D6368" w:rsidRDefault="00733322" w:rsidP="00557CE3">
            <w:pPr>
              <w:spacing w:after="0" w:line="240" w:lineRule="auto"/>
              <w:contextualSpacing/>
              <w:rPr>
                <w:rFonts w:cstheme="minorHAnsi"/>
                <w:b/>
                <w:sz w:val="20"/>
                <w:szCs w:val="20"/>
              </w:rPr>
            </w:pPr>
          </w:p>
          <w:p w14:paraId="2923D657" w14:textId="77777777" w:rsidR="004F68DA" w:rsidRPr="008D6368" w:rsidRDefault="004F68DA" w:rsidP="00557CE3">
            <w:pPr>
              <w:spacing w:after="0" w:line="240" w:lineRule="auto"/>
              <w:contextualSpacing/>
              <w:rPr>
                <w:rFonts w:cstheme="minorHAnsi"/>
                <w:b/>
                <w:sz w:val="20"/>
                <w:szCs w:val="20"/>
              </w:rPr>
            </w:pPr>
            <w:r w:rsidRPr="008D6368">
              <w:rPr>
                <w:rFonts w:cstheme="minorHAnsi"/>
                <w:b/>
                <w:sz w:val="20"/>
                <w:szCs w:val="20"/>
              </w:rPr>
              <w:t>Class 5</w:t>
            </w:r>
          </w:p>
        </w:tc>
        <w:tc>
          <w:tcPr>
            <w:tcW w:w="785" w:type="dxa"/>
            <w:tcBorders>
              <w:top w:val="single" w:sz="2" w:space="0" w:color="000000"/>
              <w:bottom w:val="single" w:sz="2" w:space="0" w:color="000000"/>
            </w:tcBorders>
          </w:tcPr>
          <w:p w14:paraId="31FA61E8" w14:textId="1A221FC3" w:rsidR="004F68DA" w:rsidRPr="008D6368" w:rsidRDefault="00E87BDF" w:rsidP="00557CE3">
            <w:pPr>
              <w:spacing w:after="0" w:line="240" w:lineRule="auto"/>
              <w:contextualSpacing/>
              <w:rPr>
                <w:rFonts w:cstheme="minorHAnsi"/>
                <w:sz w:val="20"/>
                <w:szCs w:val="20"/>
              </w:rPr>
            </w:pPr>
            <w:r w:rsidRPr="008D6368">
              <w:rPr>
                <w:rFonts w:cstheme="minorHAnsi"/>
                <w:sz w:val="20"/>
                <w:szCs w:val="20"/>
              </w:rPr>
              <w:t>Feb 14</w:t>
            </w:r>
          </w:p>
          <w:p w14:paraId="6D8AC1A4" w14:textId="77777777" w:rsidR="004F68DA" w:rsidRPr="008D6368" w:rsidRDefault="004F68DA" w:rsidP="00557CE3">
            <w:pPr>
              <w:spacing w:after="0" w:line="240" w:lineRule="auto"/>
              <w:contextualSpacing/>
              <w:rPr>
                <w:rFonts w:cstheme="minorHAnsi"/>
                <w:sz w:val="20"/>
                <w:szCs w:val="20"/>
              </w:rPr>
            </w:pPr>
          </w:p>
          <w:p w14:paraId="7F33B1E7" w14:textId="4371C3BF" w:rsidR="004F68DA" w:rsidRPr="008D6368" w:rsidRDefault="004F68DA" w:rsidP="00557CE3">
            <w:pPr>
              <w:spacing w:after="0" w:line="240" w:lineRule="auto"/>
              <w:contextualSpacing/>
              <w:rPr>
                <w:rFonts w:cstheme="minorHAnsi"/>
                <w:sz w:val="20"/>
                <w:szCs w:val="20"/>
              </w:rPr>
            </w:pPr>
          </w:p>
        </w:tc>
        <w:tc>
          <w:tcPr>
            <w:tcW w:w="1559" w:type="dxa"/>
            <w:tcBorders>
              <w:top w:val="single" w:sz="2" w:space="0" w:color="000000"/>
              <w:bottom w:val="single" w:sz="2" w:space="0" w:color="000000"/>
            </w:tcBorders>
          </w:tcPr>
          <w:p w14:paraId="767A57E1" w14:textId="77777777" w:rsidR="00733322" w:rsidRPr="008D6368" w:rsidRDefault="00733322" w:rsidP="00557CE3">
            <w:pPr>
              <w:spacing w:after="0" w:line="240" w:lineRule="auto"/>
              <w:contextualSpacing/>
              <w:rPr>
                <w:rFonts w:cstheme="minorHAnsi"/>
                <w:sz w:val="20"/>
                <w:szCs w:val="20"/>
              </w:rPr>
            </w:pPr>
          </w:p>
          <w:p w14:paraId="7D3CD889" w14:textId="2C0C820B" w:rsidR="004F68DA" w:rsidRPr="008D6368" w:rsidRDefault="00CB315F" w:rsidP="00557CE3">
            <w:pPr>
              <w:spacing w:after="0" w:line="240" w:lineRule="auto"/>
              <w:contextualSpacing/>
              <w:rPr>
                <w:rFonts w:cstheme="minorHAnsi"/>
                <w:sz w:val="20"/>
                <w:szCs w:val="20"/>
              </w:rPr>
            </w:pPr>
            <w:r w:rsidRPr="008D6368">
              <w:rPr>
                <w:rFonts w:cstheme="minorHAnsi"/>
                <w:sz w:val="20"/>
                <w:szCs w:val="20"/>
              </w:rPr>
              <w:t>Statistical methods, continued: regression, cumulative meta-analysis</w:t>
            </w:r>
          </w:p>
          <w:p w14:paraId="572C5646" w14:textId="2D05CD90" w:rsidR="00733322" w:rsidRPr="008D6368" w:rsidRDefault="00733322" w:rsidP="00557CE3">
            <w:pPr>
              <w:spacing w:after="0" w:line="240" w:lineRule="auto"/>
              <w:contextualSpacing/>
              <w:rPr>
                <w:rFonts w:cstheme="minorHAnsi"/>
                <w:sz w:val="20"/>
                <w:szCs w:val="20"/>
              </w:rPr>
            </w:pPr>
          </w:p>
        </w:tc>
        <w:tc>
          <w:tcPr>
            <w:tcW w:w="785" w:type="dxa"/>
            <w:tcBorders>
              <w:top w:val="single" w:sz="2" w:space="0" w:color="000000"/>
              <w:bottom w:val="single" w:sz="2" w:space="0" w:color="000000"/>
            </w:tcBorders>
          </w:tcPr>
          <w:p w14:paraId="2515E503" w14:textId="77777777" w:rsidR="004F68DA" w:rsidRPr="008D6368" w:rsidRDefault="004F68DA" w:rsidP="008D6368">
            <w:pPr>
              <w:spacing w:after="0" w:line="240" w:lineRule="auto"/>
              <w:contextualSpacing/>
              <w:rPr>
                <w:rFonts w:cstheme="minorHAnsi"/>
                <w:sz w:val="20"/>
                <w:szCs w:val="20"/>
              </w:rPr>
            </w:pPr>
          </w:p>
        </w:tc>
        <w:tc>
          <w:tcPr>
            <w:tcW w:w="6066" w:type="dxa"/>
            <w:tcBorders>
              <w:top w:val="single" w:sz="2" w:space="0" w:color="000000"/>
              <w:bottom w:val="single" w:sz="2" w:space="0" w:color="000000"/>
            </w:tcBorders>
          </w:tcPr>
          <w:p w14:paraId="1EFE0304" w14:textId="77777777" w:rsidR="00C766F1" w:rsidRPr="008D6368" w:rsidRDefault="00C766F1" w:rsidP="008D6368">
            <w:pPr>
              <w:spacing w:line="240" w:lineRule="auto"/>
              <w:contextualSpacing/>
              <w:rPr>
                <w:rFonts w:cstheme="minorHAnsi"/>
                <w:sz w:val="20"/>
                <w:szCs w:val="20"/>
                <w:lang w:val="fr-FR"/>
              </w:rPr>
            </w:pPr>
            <w:r w:rsidRPr="008D6368">
              <w:rPr>
                <w:rFonts w:cstheme="minorHAnsi"/>
                <w:sz w:val="20"/>
                <w:szCs w:val="20"/>
              </w:rPr>
              <w:t>Systematic Reviews in Health Care: Meta-analysis in Context, 2</w:t>
            </w:r>
            <w:r w:rsidRPr="008D6368">
              <w:rPr>
                <w:rFonts w:cstheme="minorHAnsi"/>
                <w:sz w:val="20"/>
                <w:szCs w:val="20"/>
                <w:vertAlign w:val="superscript"/>
              </w:rPr>
              <w:t>nd</w:t>
            </w:r>
            <w:r w:rsidRPr="008D6368">
              <w:rPr>
                <w:rFonts w:cstheme="minorHAnsi"/>
                <w:sz w:val="20"/>
                <w:szCs w:val="20"/>
              </w:rPr>
              <w:t xml:space="preserve"> Edition, </w:t>
            </w:r>
            <w:proofErr w:type="spellStart"/>
            <w:r w:rsidRPr="008D6368">
              <w:rPr>
                <w:rFonts w:cstheme="minorHAnsi"/>
                <w:sz w:val="20"/>
                <w:szCs w:val="20"/>
              </w:rPr>
              <w:t>Mattias</w:t>
            </w:r>
            <w:proofErr w:type="spellEnd"/>
            <w:r w:rsidRPr="008D6368">
              <w:rPr>
                <w:rFonts w:cstheme="minorHAnsi"/>
                <w:sz w:val="20"/>
                <w:szCs w:val="20"/>
              </w:rPr>
              <w:t xml:space="preserve"> Egger, George Davey Smith and Douglas Altman </w:t>
            </w:r>
            <w:proofErr w:type="spellStart"/>
            <w:r w:rsidRPr="008D6368">
              <w:rPr>
                <w:rFonts w:cstheme="minorHAnsi"/>
                <w:sz w:val="20"/>
                <w:szCs w:val="20"/>
              </w:rPr>
              <w:t>eds</w:t>
            </w:r>
            <w:proofErr w:type="spellEnd"/>
            <w:r w:rsidRPr="008D6368">
              <w:rPr>
                <w:rFonts w:cstheme="minorHAnsi"/>
                <w:sz w:val="20"/>
                <w:szCs w:val="20"/>
              </w:rPr>
              <w:t>, BMJ Books 2011; chapters</w:t>
            </w:r>
            <w:r w:rsidRPr="008D6368">
              <w:rPr>
                <w:rFonts w:cstheme="minorHAnsi"/>
                <w:sz w:val="20"/>
                <w:szCs w:val="20"/>
                <w:lang w:val="fr-FR"/>
              </w:rPr>
              <w:t xml:space="preserve"> 11</w:t>
            </w:r>
            <w:proofErr w:type="gramStart"/>
            <w:r w:rsidRPr="008D6368">
              <w:rPr>
                <w:rFonts w:cstheme="minorHAnsi"/>
                <w:sz w:val="20"/>
                <w:szCs w:val="20"/>
                <w:lang w:val="fr-FR"/>
              </w:rPr>
              <w:t>,13</w:t>
            </w:r>
            <w:proofErr w:type="gramEnd"/>
            <w:r w:rsidRPr="008D6368">
              <w:rPr>
                <w:rFonts w:cstheme="minorHAnsi"/>
                <w:sz w:val="20"/>
                <w:szCs w:val="20"/>
                <w:lang w:val="fr-FR"/>
              </w:rPr>
              <w:t>-16.</w:t>
            </w:r>
          </w:p>
          <w:p w14:paraId="11C680EE" w14:textId="77777777" w:rsidR="00C766F1" w:rsidRPr="008D6368" w:rsidRDefault="00C766F1" w:rsidP="008D6368">
            <w:pPr>
              <w:spacing w:line="240" w:lineRule="auto"/>
              <w:contextualSpacing/>
              <w:rPr>
                <w:rFonts w:cstheme="minorHAnsi"/>
                <w:sz w:val="20"/>
                <w:szCs w:val="20"/>
                <w:lang w:val="fr-FR"/>
              </w:rPr>
            </w:pPr>
          </w:p>
          <w:p w14:paraId="1011780C" w14:textId="47E1658C" w:rsidR="004F68DA" w:rsidRPr="008D6368" w:rsidRDefault="00C766F1" w:rsidP="008D6368">
            <w:pPr>
              <w:spacing w:line="240" w:lineRule="auto"/>
              <w:contextualSpacing/>
              <w:rPr>
                <w:rFonts w:cstheme="minorHAnsi"/>
                <w:sz w:val="20"/>
                <w:szCs w:val="20"/>
              </w:rPr>
            </w:pPr>
            <w:r w:rsidRPr="008D6368">
              <w:rPr>
                <w:rFonts w:cstheme="minorHAnsi"/>
                <w:sz w:val="20"/>
                <w:szCs w:val="20"/>
              </w:rPr>
              <w:t xml:space="preserve">Tuuli M G, </w:t>
            </w:r>
            <w:proofErr w:type="spellStart"/>
            <w:r w:rsidRPr="008D6368">
              <w:rPr>
                <w:rFonts w:cstheme="minorHAnsi"/>
                <w:sz w:val="20"/>
                <w:szCs w:val="20"/>
              </w:rPr>
              <w:t>Rampersad</w:t>
            </w:r>
            <w:proofErr w:type="spellEnd"/>
            <w:r w:rsidRPr="008D6368">
              <w:rPr>
                <w:rFonts w:cstheme="minorHAnsi"/>
                <w:sz w:val="20"/>
                <w:szCs w:val="20"/>
              </w:rPr>
              <w:t xml:space="preserve"> RM, Carbone JF, </w:t>
            </w:r>
            <w:proofErr w:type="spellStart"/>
            <w:r w:rsidRPr="008D6368">
              <w:rPr>
                <w:rFonts w:cstheme="minorHAnsi"/>
                <w:sz w:val="20"/>
                <w:szCs w:val="20"/>
              </w:rPr>
              <w:t>Stamilio</w:t>
            </w:r>
            <w:proofErr w:type="spellEnd"/>
            <w:r w:rsidRPr="008D6368">
              <w:rPr>
                <w:rFonts w:cstheme="minorHAnsi"/>
                <w:sz w:val="20"/>
                <w:szCs w:val="20"/>
              </w:rPr>
              <w:t xml:space="preserve"> D, </w:t>
            </w:r>
            <w:proofErr w:type="spellStart"/>
            <w:r w:rsidRPr="008D6368">
              <w:rPr>
                <w:rFonts w:cstheme="minorHAnsi"/>
                <w:sz w:val="20"/>
                <w:szCs w:val="20"/>
              </w:rPr>
              <w:t>Macones</w:t>
            </w:r>
            <w:proofErr w:type="spellEnd"/>
            <w:r w:rsidRPr="008D6368">
              <w:rPr>
                <w:rFonts w:cstheme="minorHAnsi"/>
                <w:sz w:val="20"/>
                <w:szCs w:val="20"/>
              </w:rPr>
              <w:t xml:space="preserve"> GA, </w:t>
            </w:r>
            <w:proofErr w:type="spellStart"/>
            <w:r w:rsidRPr="008D6368">
              <w:rPr>
                <w:rFonts w:cstheme="minorHAnsi"/>
                <w:sz w:val="20"/>
                <w:szCs w:val="20"/>
              </w:rPr>
              <w:t>Odibo</w:t>
            </w:r>
            <w:proofErr w:type="spellEnd"/>
            <w:r w:rsidRPr="008D6368">
              <w:rPr>
                <w:rFonts w:cstheme="minorHAnsi"/>
                <w:sz w:val="20"/>
                <w:szCs w:val="20"/>
              </w:rPr>
              <w:t xml:space="preserve"> AO. </w:t>
            </w:r>
            <w:hyperlink r:id="rId28" w:history="1">
              <w:r w:rsidRPr="008D6368">
                <w:rPr>
                  <w:rStyle w:val="Hyperlink"/>
                  <w:rFonts w:cstheme="minorHAnsi"/>
                  <w:bCs/>
                  <w:sz w:val="20"/>
                  <w:szCs w:val="20"/>
                </w:rPr>
                <w:t xml:space="preserve">Staples Compared With Subcuticular Suture for Skin Closure After Cesarean Delivery </w:t>
              </w:r>
              <w:r w:rsidRPr="008D6368">
                <w:rPr>
                  <w:rStyle w:val="Hyperlink"/>
                  <w:rFonts w:cstheme="minorHAnsi"/>
                  <w:i/>
                  <w:iCs/>
                  <w:sz w:val="20"/>
                  <w:szCs w:val="20"/>
                </w:rPr>
                <w:t>A Systematic Review and Meta-Analysis</w:t>
              </w:r>
            </w:hyperlink>
            <w:r w:rsidRPr="008D6368">
              <w:rPr>
                <w:rFonts w:cstheme="minorHAnsi"/>
                <w:i/>
                <w:iCs/>
                <w:sz w:val="20"/>
                <w:szCs w:val="20"/>
              </w:rPr>
              <w:t xml:space="preserve">. </w:t>
            </w:r>
            <w:proofErr w:type="spellStart"/>
            <w:r w:rsidRPr="008D6368">
              <w:rPr>
                <w:rFonts w:cstheme="minorHAnsi"/>
                <w:iCs/>
                <w:sz w:val="20"/>
                <w:szCs w:val="20"/>
              </w:rPr>
              <w:t>Obstet</w:t>
            </w:r>
            <w:proofErr w:type="spellEnd"/>
            <w:r w:rsidRPr="008D6368">
              <w:rPr>
                <w:rFonts w:cstheme="minorHAnsi"/>
                <w:iCs/>
                <w:sz w:val="20"/>
                <w:szCs w:val="20"/>
              </w:rPr>
              <w:t xml:space="preserve"> </w:t>
            </w:r>
            <w:proofErr w:type="spellStart"/>
            <w:r w:rsidRPr="008D6368">
              <w:rPr>
                <w:rFonts w:cstheme="minorHAnsi"/>
                <w:iCs/>
                <w:sz w:val="20"/>
                <w:szCs w:val="20"/>
              </w:rPr>
              <w:t>Gynec</w:t>
            </w:r>
            <w:proofErr w:type="spellEnd"/>
            <w:r w:rsidRPr="008D6368">
              <w:rPr>
                <w:rFonts w:cstheme="minorHAnsi"/>
                <w:iCs/>
                <w:sz w:val="20"/>
                <w:szCs w:val="20"/>
              </w:rPr>
              <w:t xml:space="preserve"> 2011; 117:682-90.</w:t>
            </w:r>
            <w:r w:rsidRPr="008D6368">
              <w:rPr>
                <w:rFonts w:cstheme="minorHAnsi"/>
                <w:sz w:val="20"/>
                <w:szCs w:val="20"/>
              </w:rPr>
              <w:t xml:space="preserve"> </w:t>
            </w:r>
          </w:p>
        </w:tc>
      </w:tr>
      <w:tr w:rsidR="004F68DA" w:rsidRPr="008D6368" w14:paraId="2D4631B0" w14:textId="09370DA6" w:rsidTr="00557CE3">
        <w:trPr>
          <w:trHeight w:val="432"/>
        </w:trPr>
        <w:tc>
          <w:tcPr>
            <w:tcW w:w="741" w:type="dxa"/>
            <w:tcBorders>
              <w:top w:val="single" w:sz="2" w:space="0" w:color="000000"/>
              <w:bottom w:val="single" w:sz="2" w:space="0" w:color="000000"/>
            </w:tcBorders>
          </w:tcPr>
          <w:p w14:paraId="42CBD297" w14:textId="77777777" w:rsidR="004F68DA" w:rsidRPr="008D6368" w:rsidRDefault="004F68DA" w:rsidP="00557CE3">
            <w:pPr>
              <w:spacing w:after="0" w:line="240" w:lineRule="auto"/>
              <w:contextualSpacing/>
              <w:rPr>
                <w:rFonts w:cstheme="minorHAnsi"/>
                <w:b/>
                <w:sz w:val="20"/>
                <w:szCs w:val="20"/>
              </w:rPr>
            </w:pPr>
            <w:r w:rsidRPr="008D6368">
              <w:rPr>
                <w:rFonts w:cstheme="minorHAnsi"/>
                <w:b/>
                <w:sz w:val="20"/>
                <w:szCs w:val="20"/>
              </w:rPr>
              <w:t>Class 6</w:t>
            </w:r>
          </w:p>
        </w:tc>
        <w:tc>
          <w:tcPr>
            <w:tcW w:w="785" w:type="dxa"/>
            <w:tcBorders>
              <w:top w:val="single" w:sz="2" w:space="0" w:color="000000"/>
              <w:bottom w:val="single" w:sz="2" w:space="0" w:color="000000"/>
            </w:tcBorders>
          </w:tcPr>
          <w:p w14:paraId="42A99A23" w14:textId="2A2946EB" w:rsidR="004F68DA" w:rsidRPr="008D6368" w:rsidRDefault="00E87BDF" w:rsidP="00557CE3">
            <w:pPr>
              <w:spacing w:after="0" w:line="240" w:lineRule="auto"/>
              <w:contextualSpacing/>
              <w:rPr>
                <w:rFonts w:cstheme="minorHAnsi"/>
                <w:sz w:val="20"/>
                <w:szCs w:val="20"/>
              </w:rPr>
            </w:pPr>
            <w:r w:rsidRPr="008D6368">
              <w:rPr>
                <w:rFonts w:cstheme="minorHAnsi"/>
                <w:sz w:val="20"/>
                <w:szCs w:val="20"/>
              </w:rPr>
              <w:t>Feb 21</w:t>
            </w:r>
          </w:p>
        </w:tc>
        <w:tc>
          <w:tcPr>
            <w:tcW w:w="1559" w:type="dxa"/>
            <w:tcBorders>
              <w:top w:val="single" w:sz="2" w:space="0" w:color="000000"/>
              <w:bottom w:val="single" w:sz="2" w:space="0" w:color="000000"/>
            </w:tcBorders>
          </w:tcPr>
          <w:p w14:paraId="79A9D075" w14:textId="77777777" w:rsidR="004460EF" w:rsidRPr="008D6368" w:rsidRDefault="004460EF" w:rsidP="00557CE3">
            <w:pPr>
              <w:spacing w:after="0" w:line="240" w:lineRule="auto"/>
              <w:contextualSpacing/>
              <w:rPr>
                <w:rFonts w:cstheme="minorHAnsi"/>
                <w:sz w:val="20"/>
                <w:szCs w:val="20"/>
              </w:rPr>
            </w:pPr>
          </w:p>
          <w:p w14:paraId="28F657D2" w14:textId="2CBC649C" w:rsidR="004F68DA" w:rsidRPr="008D6368" w:rsidRDefault="008A79B2" w:rsidP="00557CE3">
            <w:pPr>
              <w:spacing w:after="0" w:line="240" w:lineRule="auto"/>
              <w:contextualSpacing/>
              <w:rPr>
                <w:rFonts w:cstheme="minorHAnsi"/>
                <w:b/>
                <w:sz w:val="20"/>
                <w:szCs w:val="20"/>
              </w:rPr>
            </w:pPr>
            <w:r w:rsidRPr="008D6368">
              <w:rPr>
                <w:rFonts w:cstheme="minorHAnsi"/>
                <w:sz w:val="20"/>
                <w:szCs w:val="20"/>
              </w:rPr>
              <w:t>Heterogeneity: I</w:t>
            </w:r>
            <w:r w:rsidRPr="008D6368">
              <w:rPr>
                <w:rFonts w:cstheme="minorHAnsi"/>
                <w:sz w:val="20"/>
                <w:szCs w:val="20"/>
                <w:vertAlign w:val="superscript"/>
              </w:rPr>
              <w:t>2</w:t>
            </w:r>
            <w:r w:rsidRPr="008D6368">
              <w:rPr>
                <w:rFonts w:cstheme="minorHAnsi"/>
                <w:sz w:val="20"/>
                <w:szCs w:val="20"/>
              </w:rPr>
              <w:t>, subgroup analysis</w:t>
            </w:r>
          </w:p>
          <w:p w14:paraId="34F81B90" w14:textId="2E48E2A8" w:rsidR="00733322" w:rsidRPr="008D6368" w:rsidRDefault="00733322" w:rsidP="00557CE3">
            <w:pPr>
              <w:spacing w:after="0" w:line="240" w:lineRule="auto"/>
              <w:contextualSpacing/>
              <w:rPr>
                <w:rFonts w:cstheme="minorHAnsi"/>
                <w:sz w:val="20"/>
                <w:szCs w:val="20"/>
              </w:rPr>
            </w:pPr>
          </w:p>
        </w:tc>
        <w:tc>
          <w:tcPr>
            <w:tcW w:w="785" w:type="dxa"/>
            <w:tcBorders>
              <w:top w:val="single" w:sz="2" w:space="0" w:color="000000"/>
              <w:bottom w:val="single" w:sz="2" w:space="0" w:color="000000"/>
            </w:tcBorders>
          </w:tcPr>
          <w:p w14:paraId="08C32557" w14:textId="77777777" w:rsidR="004F68DA" w:rsidRPr="008D6368" w:rsidRDefault="004F68DA" w:rsidP="008D6368">
            <w:pPr>
              <w:spacing w:after="0" w:line="240" w:lineRule="auto"/>
              <w:contextualSpacing/>
              <w:rPr>
                <w:rFonts w:cstheme="minorHAnsi"/>
                <w:sz w:val="20"/>
                <w:szCs w:val="20"/>
              </w:rPr>
            </w:pPr>
          </w:p>
        </w:tc>
        <w:tc>
          <w:tcPr>
            <w:tcW w:w="6066" w:type="dxa"/>
            <w:tcBorders>
              <w:top w:val="single" w:sz="2" w:space="0" w:color="000000"/>
              <w:bottom w:val="single" w:sz="2" w:space="0" w:color="000000"/>
            </w:tcBorders>
          </w:tcPr>
          <w:p w14:paraId="64C9E6AD" w14:textId="77777777" w:rsidR="00C766F1" w:rsidRPr="008D6368" w:rsidRDefault="00C766F1" w:rsidP="008D6368">
            <w:pPr>
              <w:spacing w:line="240" w:lineRule="auto"/>
              <w:contextualSpacing/>
              <w:rPr>
                <w:rFonts w:cstheme="minorHAnsi"/>
                <w:sz w:val="20"/>
                <w:szCs w:val="20"/>
              </w:rPr>
            </w:pPr>
            <w:r w:rsidRPr="008D6368">
              <w:rPr>
                <w:rFonts w:cstheme="minorHAnsi"/>
                <w:sz w:val="20"/>
                <w:szCs w:val="20"/>
              </w:rPr>
              <w:t>Systematic Reviews in Health Care: Meta-analysis in Context, 2</w:t>
            </w:r>
            <w:r w:rsidRPr="008D6368">
              <w:rPr>
                <w:rFonts w:cstheme="minorHAnsi"/>
                <w:sz w:val="20"/>
                <w:szCs w:val="20"/>
                <w:vertAlign w:val="superscript"/>
              </w:rPr>
              <w:t>nd</w:t>
            </w:r>
            <w:r w:rsidRPr="008D6368">
              <w:rPr>
                <w:rFonts w:cstheme="minorHAnsi"/>
                <w:sz w:val="20"/>
                <w:szCs w:val="20"/>
              </w:rPr>
              <w:t xml:space="preserve"> Edition, </w:t>
            </w:r>
            <w:proofErr w:type="spellStart"/>
            <w:r w:rsidRPr="008D6368">
              <w:rPr>
                <w:rFonts w:cstheme="minorHAnsi"/>
                <w:sz w:val="20"/>
                <w:szCs w:val="20"/>
              </w:rPr>
              <w:t>Mattias</w:t>
            </w:r>
            <w:proofErr w:type="spellEnd"/>
            <w:r w:rsidRPr="008D6368">
              <w:rPr>
                <w:rFonts w:cstheme="minorHAnsi"/>
                <w:sz w:val="20"/>
                <w:szCs w:val="20"/>
              </w:rPr>
              <w:t xml:space="preserve"> Egger, George Davey Smith and Douglas Altman </w:t>
            </w:r>
            <w:proofErr w:type="spellStart"/>
            <w:r w:rsidRPr="008D6368">
              <w:rPr>
                <w:rFonts w:cstheme="minorHAnsi"/>
                <w:sz w:val="20"/>
                <w:szCs w:val="20"/>
              </w:rPr>
              <w:t>eds</w:t>
            </w:r>
            <w:proofErr w:type="spellEnd"/>
            <w:r w:rsidRPr="008D6368">
              <w:rPr>
                <w:rFonts w:cstheme="minorHAnsi"/>
                <w:sz w:val="20"/>
                <w:szCs w:val="20"/>
              </w:rPr>
              <w:t>, BMJ Books 2011; chapters 8,9</w:t>
            </w:r>
          </w:p>
          <w:p w14:paraId="30A36878" w14:textId="77777777" w:rsidR="00C766F1" w:rsidRPr="008D6368" w:rsidRDefault="00C766F1" w:rsidP="008D6368">
            <w:pPr>
              <w:spacing w:line="240" w:lineRule="auto"/>
              <w:contextualSpacing/>
              <w:rPr>
                <w:rFonts w:cstheme="minorHAnsi"/>
                <w:sz w:val="20"/>
                <w:szCs w:val="20"/>
              </w:rPr>
            </w:pPr>
          </w:p>
          <w:p w14:paraId="07EB9379" w14:textId="77777777" w:rsidR="00C766F1" w:rsidRPr="008D6368" w:rsidRDefault="00C766F1" w:rsidP="008D6368">
            <w:pPr>
              <w:widowControl w:val="0"/>
              <w:autoSpaceDE w:val="0"/>
              <w:autoSpaceDN w:val="0"/>
              <w:adjustRightInd w:val="0"/>
              <w:spacing w:line="240" w:lineRule="auto"/>
              <w:contextualSpacing/>
              <w:rPr>
                <w:rFonts w:cstheme="minorHAnsi"/>
                <w:bCs/>
                <w:sz w:val="20"/>
                <w:szCs w:val="20"/>
              </w:rPr>
            </w:pPr>
            <w:r w:rsidRPr="008D6368">
              <w:rPr>
                <w:rFonts w:cstheme="minorHAnsi"/>
                <w:bCs/>
                <w:sz w:val="20"/>
                <w:szCs w:val="20"/>
              </w:rPr>
              <w:t xml:space="preserve">Colditz GA, Burdick E, </w:t>
            </w:r>
            <w:proofErr w:type="spellStart"/>
            <w:r w:rsidRPr="008D6368">
              <w:rPr>
                <w:rFonts w:cstheme="minorHAnsi"/>
                <w:bCs/>
                <w:sz w:val="20"/>
                <w:szCs w:val="20"/>
              </w:rPr>
              <w:t>Mosteller</w:t>
            </w:r>
            <w:proofErr w:type="spellEnd"/>
            <w:r w:rsidRPr="008D6368">
              <w:rPr>
                <w:rFonts w:cstheme="minorHAnsi"/>
                <w:bCs/>
                <w:sz w:val="20"/>
                <w:szCs w:val="20"/>
              </w:rPr>
              <w:t xml:space="preserve"> F. Heterogeneity in Meta-analysis of Data from Epidemiologic Studies:  Reviews and Commentary.</w:t>
            </w:r>
            <w:r w:rsidRPr="008D6368">
              <w:rPr>
                <w:rFonts w:cstheme="minorHAnsi"/>
                <w:b/>
                <w:bCs/>
                <w:sz w:val="20"/>
                <w:szCs w:val="20"/>
              </w:rPr>
              <w:t xml:space="preserve"> </w:t>
            </w:r>
            <w:r w:rsidRPr="008D6368">
              <w:rPr>
                <w:rFonts w:cstheme="minorHAnsi"/>
                <w:sz w:val="20"/>
                <w:szCs w:val="20"/>
              </w:rPr>
              <w:t xml:space="preserve">AJE 1995;371-81.Colditz  </w:t>
            </w:r>
          </w:p>
          <w:p w14:paraId="73852E32" w14:textId="77777777" w:rsidR="00C766F1" w:rsidRPr="008D6368" w:rsidRDefault="00C766F1" w:rsidP="008D6368">
            <w:pPr>
              <w:spacing w:line="240" w:lineRule="auto"/>
              <w:contextualSpacing/>
              <w:rPr>
                <w:rFonts w:cstheme="minorHAnsi"/>
                <w:bCs/>
                <w:sz w:val="20"/>
                <w:szCs w:val="20"/>
              </w:rPr>
            </w:pPr>
          </w:p>
          <w:p w14:paraId="574A1891" w14:textId="77777777" w:rsidR="00C766F1" w:rsidRPr="008D6368" w:rsidRDefault="00C766F1" w:rsidP="008D6368">
            <w:pPr>
              <w:widowControl w:val="0"/>
              <w:autoSpaceDE w:val="0"/>
              <w:autoSpaceDN w:val="0"/>
              <w:adjustRightInd w:val="0"/>
              <w:spacing w:line="240" w:lineRule="auto"/>
              <w:contextualSpacing/>
              <w:rPr>
                <w:rFonts w:cstheme="minorHAnsi"/>
                <w:bCs/>
                <w:sz w:val="20"/>
                <w:szCs w:val="20"/>
              </w:rPr>
            </w:pPr>
            <w:r w:rsidRPr="008D6368">
              <w:rPr>
                <w:rFonts w:cstheme="minorHAnsi"/>
                <w:bCs/>
                <w:sz w:val="20"/>
                <w:szCs w:val="20"/>
              </w:rPr>
              <w:t>Berlin JA. Invited Commentary: Benefits of Heterogeneity in Meta-analysis of Data from Epidemiologic Studies</w:t>
            </w:r>
            <w:r w:rsidRPr="008D6368">
              <w:rPr>
                <w:rFonts w:cstheme="minorHAnsi"/>
                <w:b/>
                <w:bCs/>
                <w:sz w:val="20"/>
                <w:szCs w:val="20"/>
              </w:rPr>
              <w:t xml:space="preserve"> </w:t>
            </w:r>
            <w:r w:rsidRPr="008D6368">
              <w:rPr>
                <w:rFonts w:cstheme="minorHAnsi"/>
                <w:sz w:val="20"/>
                <w:szCs w:val="20"/>
              </w:rPr>
              <w:t>AJE 1995; 142: 385-8.</w:t>
            </w:r>
          </w:p>
          <w:p w14:paraId="509D5BCD" w14:textId="77777777" w:rsidR="00C766F1" w:rsidRPr="008D6368" w:rsidRDefault="00C766F1" w:rsidP="008D6368">
            <w:pPr>
              <w:spacing w:line="240" w:lineRule="auto"/>
              <w:contextualSpacing/>
              <w:rPr>
                <w:rFonts w:cstheme="minorHAnsi"/>
                <w:sz w:val="20"/>
                <w:szCs w:val="20"/>
              </w:rPr>
            </w:pPr>
          </w:p>
          <w:p w14:paraId="3FD79B3E" w14:textId="77777777" w:rsidR="00C766F1" w:rsidRPr="008D6368" w:rsidRDefault="00C766F1" w:rsidP="008D6368">
            <w:pPr>
              <w:spacing w:line="240" w:lineRule="auto"/>
              <w:contextualSpacing/>
              <w:rPr>
                <w:rFonts w:cstheme="minorHAnsi"/>
                <w:sz w:val="20"/>
                <w:szCs w:val="20"/>
              </w:rPr>
            </w:pPr>
            <w:r w:rsidRPr="008D6368">
              <w:rPr>
                <w:rFonts w:cstheme="minorHAnsi"/>
                <w:sz w:val="20"/>
                <w:szCs w:val="20"/>
              </w:rPr>
              <w:t xml:space="preserve">Higgins JP, Thompson SG, </w:t>
            </w:r>
            <w:proofErr w:type="spellStart"/>
            <w:r w:rsidRPr="008D6368">
              <w:rPr>
                <w:rFonts w:cstheme="minorHAnsi"/>
                <w:sz w:val="20"/>
                <w:szCs w:val="20"/>
              </w:rPr>
              <w:t>Deeks</w:t>
            </w:r>
            <w:proofErr w:type="spellEnd"/>
            <w:r w:rsidRPr="008D6368">
              <w:rPr>
                <w:rFonts w:cstheme="minorHAnsi"/>
                <w:sz w:val="20"/>
                <w:szCs w:val="20"/>
              </w:rPr>
              <w:t xml:space="preserve"> JJ, Altman DG. </w:t>
            </w:r>
            <w:hyperlink r:id="rId29" w:history="1">
              <w:r w:rsidRPr="008D6368">
                <w:rPr>
                  <w:rStyle w:val="Hyperlink"/>
                  <w:rFonts w:cstheme="minorHAnsi"/>
                  <w:sz w:val="20"/>
                  <w:szCs w:val="20"/>
                </w:rPr>
                <w:t>Measuring inconsistency in meta-analyses</w:t>
              </w:r>
            </w:hyperlink>
            <w:r w:rsidRPr="008D6368">
              <w:rPr>
                <w:rFonts w:cstheme="minorHAnsi"/>
                <w:sz w:val="20"/>
                <w:szCs w:val="20"/>
              </w:rPr>
              <w:t xml:space="preserve">, </w:t>
            </w:r>
            <w:r w:rsidRPr="008D6368">
              <w:rPr>
                <w:rFonts w:cstheme="minorHAnsi"/>
                <w:i/>
                <w:iCs/>
                <w:sz w:val="20"/>
                <w:szCs w:val="20"/>
              </w:rPr>
              <w:t>BMJ</w:t>
            </w:r>
            <w:r w:rsidRPr="008D6368">
              <w:rPr>
                <w:rFonts w:cstheme="minorHAnsi"/>
                <w:sz w:val="20"/>
                <w:szCs w:val="20"/>
              </w:rPr>
              <w:t xml:space="preserve"> 2003</w:t>
            </w:r>
            <w:proofErr w:type="gramStart"/>
            <w:r w:rsidRPr="008D6368">
              <w:rPr>
                <w:rFonts w:cstheme="minorHAnsi"/>
                <w:sz w:val="20"/>
                <w:szCs w:val="20"/>
              </w:rPr>
              <w:t>;327:557</w:t>
            </w:r>
            <w:proofErr w:type="gramEnd"/>
            <w:r w:rsidRPr="008D6368">
              <w:rPr>
                <w:rFonts w:cstheme="minorHAnsi"/>
                <w:sz w:val="20"/>
                <w:szCs w:val="20"/>
              </w:rPr>
              <w:t>-60.</w:t>
            </w:r>
            <w:r w:rsidRPr="008D6368">
              <w:rPr>
                <w:rFonts w:cstheme="minorHAnsi"/>
                <w:sz w:val="20"/>
                <w:szCs w:val="20"/>
                <w:lang w:val="fr-FR"/>
              </w:rPr>
              <w:t xml:space="preserve"> </w:t>
            </w:r>
          </w:p>
          <w:p w14:paraId="4D6B7636" w14:textId="77777777" w:rsidR="00C766F1" w:rsidRPr="008D6368" w:rsidRDefault="00C766F1" w:rsidP="008D6368">
            <w:pPr>
              <w:spacing w:line="240" w:lineRule="auto"/>
              <w:contextualSpacing/>
              <w:rPr>
                <w:rFonts w:cstheme="minorHAnsi"/>
                <w:sz w:val="20"/>
                <w:szCs w:val="20"/>
              </w:rPr>
            </w:pPr>
          </w:p>
          <w:p w14:paraId="20135001" w14:textId="30C31B0F" w:rsidR="004F68DA" w:rsidRPr="008D6368" w:rsidRDefault="00C766F1" w:rsidP="008D6368">
            <w:pPr>
              <w:spacing w:line="240" w:lineRule="auto"/>
              <w:contextualSpacing/>
              <w:rPr>
                <w:rFonts w:cstheme="minorHAnsi"/>
                <w:sz w:val="20"/>
                <w:szCs w:val="20"/>
              </w:rPr>
            </w:pPr>
            <w:r w:rsidRPr="008D6368">
              <w:rPr>
                <w:rFonts w:cstheme="minorHAnsi"/>
                <w:sz w:val="20"/>
                <w:szCs w:val="20"/>
              </w:rPr>
              <w:t xml:space="preserve">Gonzales DA, </w:t>
            </w:r>
            <w:proofErr w:type="spellStart"/>
            <w:r w:rsidRPr="008D6368">
              <w:rPr>
                <w:rFonts w:cstheme="minorHAnsi"/>
                <w:sz w:val="20"/>
                <w:szCs w:val="20"/>
              </w:rPr>
              <w:t>Norsworthy</w:t>
            </w:r>
            <w:proofErr w:type="spellEnd"/>
            <w:r w:rsidRPr="008D6368">
              <w:rPr>
                <w:rFonts w:cstheme="minorHAnsi"/>
                <w:sz w:val="20"/>
                <w:szCs w:val="20"/>
              </w:rPr>
              <w:t xml:space="preserve"> KJ, Kern SJ, Banks S, Sieving PC, </w:t>
            </w:r>
            <w:proofErr w:type="spellStart"/>
            <w:r w:rsidRPr="008D6368">
              <w:rPr>
                <w:rFonts w:cstheme="minorHAnsi"/>
                <w:sz w:val="20"/>
                <w:szCs w:val="20"/>
              </w:rPr>
              <w:t>Staar</w:t>
            </w:r>
            <w:proofErr w:type="spellEnd"/>
            <w:r w:rsidRPr="008D6368">
              <w:rPr>
                <w:rFonts w:cstheme="minorHAnsi"/>
                <w:sz w:val="20"/>
                <w:szCs w:val="20"/>
              </w:rPr>
              <w:t xml:space="preserve"> RA, </w:t>
            </w:r>
            <w:proofErr w:type="spellStart"/>
            <w:r w:rsidRPr="008D6368">
              <w:rPr>
                <w:rFonts w:cstheme="minorHAnsi"/>
                <w:sz w:val="20"/>
                <w:szCs w:val="20"/>
              </w:rPr>
              <w:t>Natanson</w:t>
            </w:r>
            <w:proofErr w:type="spellEnd"/>
            <w:r w:rsidRPr="008D6368">
              <w:rPr>
                <w:rFonts w:cstheme="minorHAnsi"/>
                <w:sz w:val="20"/>
                <w:szCs w:val="20"/>
              </w:rPr>
              <w:t xml:space="preserve"> C, Danner RL. </w:t>
            </w:r>
            <w:hyperlink r:id="rId30" w:history="1">
              <w:r w:rsidRPr="008D6368">
                <w:rPr>
                  <w:rStyle w:val="Hyperlink"/>
                  <w:rFonts w:cstheme="minorHAnsi"/>
                  <w:sz w:val="20"/>
                  <w:szCs w:val="20"/>
                </w:rPr>
                <w:t>A meta-analysis of N-</w:t>
              </w:r>
              <w:proofErr w:type="spellStart"/>
              <w:r w:rsidRPr="008D6368">
                <w:rPr>
                  <w:rStyle w:val="Hyperlink"/>
                  <w:rFonts w:cstheme="minorHAnsi"/>
                  <w:sz w:val="20"/>
                  <w:szCs w:val="20"/>
                </w:rPr>
                <w:t>acetylycysteine</w:t>
              </w:r>
              <w:proofErr w:type="spellEnd"/>
              <w:r w:rsidRPr="008D6368">
                <w:rPr>
                  <w:rStyle w:val="Hyperlink"/>
                  <w:rFonts w:cstheme="minorHAnsi"/>
                  <w:sz w:val="20"/>
                  <w:szCs w:val="20"/>
                </w:rPr>
                <w:t xml:space="preserve"> in contrast-induced nephrotoxicity: unsupervised clustering to resolve heterogeneity</w:t>
              </w:r>
            </w:hyperlink>
            <w:r w:rsidRPr="008D6368">
              <w:rPr>
                <w:rFonts w:cstheme="minorHAnsi"/>
                <w:sz w:val="20"/>
                <w:szCs w:val="20"/>
              </w:rPr>
              <w:t xml:space="preserve">, </w:t>
            </w:r>
            <w:r w:rsidRPr="008D6368">
              <w:rPr>
                <w:rFonts w:cstheme="minorHAnsi"/>
                <w:i/>
                <w:sz w:val="20"/>
                <w:szCs w:val="20"/>
              </w:rPr>
              <w:t>BMC Medicine</w:t>
            </w:r>
            <w:r w:rsidRPr="008D6368">
              <w:rPr>
                <w:rFonts w:cstheme="minorHAnsi"/>
                <w:sz w:val="20"/>
                <w:szCs w:val="20"/>
              </w:rPr>
              <w:t xml:space="preserve"> 2007</w:t>
            </w:r>
            <w:proofErr w:type="gramStart"/>
            <w:r w:rsidRPr="008D6368">
              <w:rPr>
                <w:rFonts w:cstheme="minorHAnsi"/>
                <w:sz w:val="20"/>
                <w:szCs w:val="20"/>
              </w:rPr>
              <w:t>;5:32</w:t>
            </w:r>
            <w:proofErr w:type="gramEnd"/>
            <w:r w:rsidRPr="008D6368">
              <w:rPr>
                <w:rFonts w:cstheme="minorHAnsi"/>
                <w:sz w:val="20"/>
                <w:szCs w:val="20"/>
              </w:rPr>
              <w:t xml:space="preserve">. </w:t>
            </w:r>
          </w:p>
        </w:tc>
      </w:tr>
      <w:tr w:rsidR="004F68DA" w:rsidRPr="008D6368" w14:paraId="3C4C03DA" w14:textId="1FF100C5" w:rsidTr="00557CE3">
        <w:trPr>
          <w:trHeight w:val="432"/>
        </w:trPr>
        <w:tc>
          <w:tcPr>
            <w:tcW w:w="741" w:type="dxa"/>
            <w:tcBorders>
              <w:top w:val="single" w:sz="2" w:space="0" w:color="000000"/>
              <w:bottom w:val="single" w:sz="2" w:space="0" w:color="000000"/>
            </w:tcBorders>
          </w:tcPr>
          <w:p w14:paraId="78ED06A0" w14:textId="77777777" w:rsidR="004F68DA" w:rsidRPr="008D6368" w:rsidRDefault="004F68DA" w:rsidP="00557CE3">
            <w:pPr>
              <w:spacing w:after="0" w:line="240" w:lineRule="auto"/>
              <w:contextualSpacing/>
              <w:rPr>
                <w:rFonts w:cstheme="minorHAnsi"/>
                <w:b/>
                <w:sz w:val="20"/>
                <w:szCs w:val="20"/>
              </w:rPr>
            </w:pPr>
            <w:r w:rsidRPr="008D6368">
              <w:rPr>
                <w:rFonts w:cstheme="minorHAnsi"/>
                <w:b/>
                <w:sz w:val="20"/>
                <w:szCs w:val="20"/>
              </w:rPr>
              <w:t>Class 7</w:t>
            </w:r>
          </w:p>
        </w:tc>
        <w:tc>
          <w:tcPr>
            <w:tcW w:w="785" w:type="dxa"/>
            <w:tcBorders>
              <w:top w:val="single" w:sz="2" w:space="0" w:color="000000"/>
              <w:bottom w:val="single" w:sz="2" w:space="0" w:color="000000"/>
            </w:tcBorders>
          </w:tcPr>
          <w:p w14:paraId="38241239" w14:textId="0C927F5D" w:rsidR="004F68DA" w:rsidRPr="008D6368" w:rsidRDefault="00E87BDF" w:rsidP="00557CE3">
            <w:pPr>
              <w:spacing w:after="0" w:line="240" w:lineRule="auto"/>
              <w:contextualSpacing/>
              <w:rPr>
                <w:rFonts w:cstheme="minorHAnsi"/>
                <w:sz w:val="20"/>
                <w:szCs w:val="20"/>
              </w:rPr>
            </w:pPr>
            <w:r w:rsidRPr="008D6368">
              <w:rPr>
                <w:rFonts w:cstheme="minorHAnsi"/>
                <w:sz w:val="20"/>
                <w:szCs w:val="20"/>
              </w:rPr>
              <w:t>Feb 28</w:t>
            </w:r>
          </w:p>
          <w:p w14:paraId="5ADBF656" w14:textId="5520961E" w:rsidR="004F68DA" w:rsidRPr="008D6368" w:rsidRDefault="004F68DA" w:rsidP="00557CE3">
            <w:pPr>
              <w:spacing w:after="0" w:line="240" w:lineRule="auto"/>
              <w:contextualSpacing/>
              <w:rPr>
                <w:rFonts w:cstheme="minorHAnsi"/>
                <w:sz w:val="20"/>
                <w:szCs w:val="20"/>
              </w:rPr>
            </w:pPr>
          </w:p>
        </w:tc>
        <w:tc>
          <w:tcPr>
            <w:tcW w:w="1559" w:type="dxa"/>
            <w:tcBorders>
              <w:top w:val="single" w:sz="2" w:space="0" w:color="000000"/>
              <w:bottom w:val="single" w:sz="2" w:space="0" w:color="000000"/>
            </w:tcBorders>
          </w:tcPr>
          <w:p w14:paraId="4A64813A" w14:textId="77777777" w:rsidR="004F68DA" w:rsidRPr="008D6368" w:rsidRDefault="008A79B2" w:rsidP="00557CE3">
            <w:pPr>
              <w:spacing w:after="0" w:line="240" w:lineRule="auto"/>
              <w:contextualSpacing/>
              <w:rPr>
                <w:rFonts w:cstheme="minorHAnsi"/>
                <w:sz w:val="20"/>
                <w:szCs w:val="20"/>
              </w:rPr>
            </w:pPr>
            <w:r w:rsidRPr="008D6368">
              <w:rPr>
                <w:rFonts w:cstheme="minorHAnsi"/>
                <w:sz w:val="20"/>
                <w:szCs w:val="20"/>
              </w:rPr>
              <w:t>Meta-analysis in STATA</w:t>
            </w:r>
          </w:p>
          <w:p w14:paraId="5C4CDD3C" w14:textId="77777777" w:rsidR="008A79B2" w:rsidRPr="008D6368" w:rsidRDefault="008A79B2" w:rsidP="00557CE3">
            <w:pPr>
              <w:spacing w:after="0" w:line="240" w:lineRule="auto"/>
              <w:contextualSpacing/>
              <w:rPr>
                <w:rFonts w:cstheme="minorHAnsi"/>
                <w:sz w:val="20"/>
                <w:szCs w:val="20"/>
              </w:rPr>
            </w:pPr>
            <w:r w:rsidRPr="008D6368">
              <w:rPr>
                <w:rFonts w:cstheme="minorHAnsi"/>
                <w:sz w:val="20"/>
                <w:szCs w:val="20"/>
              </w:rPr>
              <w:t>Computer Lab</w:t>
            </w:r>
          </w:p>
          <w:p w14:paraId="16D9CAF6" w14:textId="675FABC0" w:rsidR="008A79B2" w:rsidRPr="008D6368" w:rsidRDefault="008A79B2" w:rsidP="00557CE3">
            <w:pPr>
              <w:spacing w:after="0" w:line="240" w:lineRule="auto"/>
              <w:contextualSpacing/>
              <w:rPr>
                <w:rFonts w:cstheme="minorHAnsi"/>
                <w:sz w:val="20"/>
                <w:szCs w:val="20"/>
              </w:rPr>
            </w:pPr>
          </w:p>
        </w:tc>
        <w:tc>
          <w:tcPr>
            <w:tcW w:w="785" w:type="dxa"/>
            <w:tcBorders>
              <w:top w:val="single" w:sz="2" w:space="0" w:color="000000"/>
              <w:bottom w:val="single" w:sz="2" w:space="0" w:color="000000"/>
            </w:tcBorders>
          </w:tcPr>
          <w:p w14:paraId="527C9EC2" w14:textId="77777777" w:rsidR="004F68DA" w:rsidRPr="008D6368" w:rsidRDefault="004F68DA" w:rsidP="008D6368">
            <w:pPr>
              <w:spacing w:after="0" w:line="240" w:lineRule="auto"/>
              <w:contextualSpacing/>
              <w:rPr>
                <w:rFonts w:cstheme="minorHAnsi"/>
                <w:sz w:val="20"/>
                <w:szCs w:val="20"/>
              </w:rPr>
            </w:pPr>
          </w:p>
        </w:tc>
        <w:tc>
          <w:tcPr>
            <w:tcW w:w="6066" w:type="dxa"/>
            <w:tcBorders>
              <w:top w:val="single" w:sz="2" w:space="0" w:color="000000"/>
              <w:bottom w:val="single" w:sz="2" w:space="0" w:color="000000"/>
            </w:tcBorders>
          </w:tcPr>
          <w:p w14:paraId="7BB74733" w14:textId="417C23F7" w:rsidR="004F68DA" w:rsidRPr="008D6368" w:rsidRDefault="004F68DA" w:rsidP="008D6368">
            <w:pPr>
              <w:spacing w:after="0" w:line="240" w:lineRule="auto"/>
              <w:contextualSpacing/>
              <w:rPr>
                <w:rFonts w:cstheme="minorHAnsi"/>
                <w:sz w:val="20"/>
                <w:szCs w:val="20"/>
              </w:rPr>
            </w:pPr>
          </w:p>
        </w:tc>
      </w:tr>
      <w:tr w:rsidR="004F68DA" w:rsidRPr="008D6368" w14:paraId="2A817504" w14:textId="4133743A" w:rsidTr="00557CE3">
        <w:trPr>
          <w:trHeight w:val="432"/>
        </w:trPr>
        <w:tc>
          <w:tcPr>
            <w:tcW w:w="741" w:type="dxa"/>
            <w:tcBorders>
              <w:top w:val="single" w:sz="2" w:space="0" w:color="000000"/>
              <w:bottom w:val="single" w:sz="2" w:space="0" w:color="000000"/>
            </w:tcBorders>
          </w:tcPr>
          <w:p w14:paraId="4B3C9CC9" w14:textId="77777777" w:rsidR="004F68DA" w:rsidRPr="008D6368" w:rsidRDefault="004F68DA" w:rsidP="00557CE3">
            <w:pPr>
              <w:spacing w:after="0" w:line="240" w:lineRule="auto"/>
              <w:contextualSpacing/>
              <w:rPr>
                <w:rFonts w:cstheme="minorHAnsi"/>
                <w:b/>
                <w:sz w:val="20"/>
                <w:szCs w:val="20"/>
              </w:rPr>
            </w:pPr>
            <w:r w:rsidRPr="008D6368">
              <w:rPr>
                <w:rFonts w:cstheme="minorHAnsi"/>
                <w:b/>
                <w:sz w:val="20"/>
                <w:szCs w:val="20"/>
              </w:rPr>
              <w:t>Class 8</w:t>
            </w:r>
          </w:p>
        </w:tc>
        <w:tc>
          <w:tcPr>
            <w:tcW w:w="785" w:type="dxa"/>
            <w:tcBorders>
              <w:top w:val="single" w:sz="2" w:space="0" w:color="000000"/>
              <w:bottom w:val="single" w:sz="2" w:space="0" w:color="000000"/>
            </w:tcBorders>
          </w:tcPr>
          <w:p w14:paraId="6F5795A5" w14:textId="70868822" w:rsidR="004F68DA" w:rsidRPr="008D6368" w:rsidRDefault="00E87BDF" w:rsidP="00557CE3">
            <w:pPr>
              <w:spacing w:after="0" w:line="240" w:lineRule="auto"/>
              <w:contextualSpacing/>
              <w:rPr>
                <w:rFonts w:cstheme="minorHAnsi"/>
                <w:sz w:val="20"/>
                <w:szCs w:val="20"/>
              </w:rPr>
            </w:pPr>
            <w:r w:rsidRPr="008D6368">
              <w:rPr>
                <w:rFonts w:cstheme="minorHAnsi"/>
                <w:sz w:val="20"/>
                <w:szCs w:val="20"/>
              </w:rPr>
              <w:t>March 6</w:t>
            </w:r>
          </w:p>
          <w:p w14:paraId="524E66DF" w14:textId="77777777" w:rsidR="004F68DA" w:rsidRPr="008D6368" w:rsidRDefault="004F68DA" w:rsidP="00557CE3">
            <w:pPr>
              <w:spacing w:after="0" w:line="240" w:lineRule="auto"/>
              <w:contextualSpacing/>
              <w:rPr>
                <w:rFonts w:cstheme="minorHAnsi"/>
                <w:sz w:val="20"/>
                <w:szCs w:val="20"/>
              </w:rPr>
            </w:pPr>
          </w:p>
          <w:p w14:paraId="24CD59BF" w14:textId="77777777" w:rsidR="004F68DA" w:rsidRPr="008D6368" w:rsidRDefault="004F68DA" w:rsidP="00557CE3">
            <w:pPr>
              <w:spacing w:after="0" w:line="240" w:lineRule="auto"/>
              <w:contextualSpacing/>
              <w:rPr>
                <w:rFonts w:cstheme="minorHAnsi"/>
                <w:sz w:val="20"/>
                <w:szCs w:val="20"/>
              </w:rPr>
            </w:pPr>
          </w:p>
          <w:p w14:paraId="74F8BAF7" w14:textId="77777777" w:rsidR="004F68DA" w:rsidRPr="008D6368" w:rsidRDefault="004F68DA" w:rsidP="00557CE3">
            <w:pPr>
              <w:spacing w:after="0" w:line="240" w:lineRule="auto"/>
              <w:contextualSpacing/>
              <w:rPr>
                <w:rFonts w:cstheme="minorHAnsi"/>
                <w:sz w:val="20"/>
                <w:szCs w:val="20"/>
              </w:rPr>
            </w:pPr>
          </w:p>
        </w:tc>
        <w:tc>
          <w:tcPr>
            <w:tcW w:w="1559" w:type="dxa"/>
            <w:tcBorders>
              <w:top w:val="single" w:sz="2" w:space="0" w:color="000000"/>
              <w:bottom w:val="single" w:sz="2" w:space="0" w:color="000000"/>
            </w:tcBorders>
          </w:tcPr>
          <w:p w14:paraId="2ACC6611" w14:textId="77777777" w:rsidR="00773007" w:rsidRPr="008D6368" w:rsidRDefault="00773007" w:rsidP="00557CE3">
            <w:pPr>
              <w:spacing w:after="0" w:line="240" w:lineRule="auto"/>
              <w:contextualSpacing/>
              <w:rPr>
                <w:rFonts w:cstheme="minorHAnsi"/>
                <w:sz w:val="20"/>
                <w:szCs w:val="20"/>
              </w:rPr>
            </w:pPr>
            <w:r w:rsidRPr="008D6368">
              <w:rPr>
                <w:rFonts w:cstheme="minorHAnsi"/>
                <w:sz w:val="20"/>
                <w:szCs w:val="20"/>
              </w:rPr>
              <w:t>Data extraction</w:t>
            </w:r>
          </w:p>
          <w:p w14:paraId="0EA6A7D6" w14:textId="41A20372" w:rsidR="00773007" w:rsidRPr="008D6368" w:rsidRDefault="00773007" w:rsidP="00557CE3">
            <w:pPr>
              <w:spacing w:after="0" w:line="240" w:lineRule="auto"/>
              <w:contextualSpacing/>
              <w:rPr>
                <w:rFonts w:cstheme="minorHAnsi"/>
                <w:sz w:val="20"/>
                <w:szCs w:val="20"/>
              </w:rPr>
            </w:pPr>
            <w:r w:rsidRPr="008D6368">
              <w:rPr>
                <w:rFonts w:cstheme="minorHAnsi"/>
                <w:sz w:val="20"/>
                <w:szCs w:val="20"/>
              </w:rPr>
              <w:t>Assessing quality</w:t>
            </w:r>
          </w:p>
        </w:tc>
        <w:tc>
          <w:tcPr>
            <w:tcW w:w="785" w:type="dxa"/>
            <w:tcBorders>
              <w:top w:val="single" w:sz="2" w:space="0" w:color="000000"/>
              <w:bottom w:val="single" w:sz="2" w:space="0" w:color="000000"/>
            </w:tcBorders>
          </w:tcPr>
          <w:p w14:paraId="5BAB3EA3" w14:textId="19671F14" w:rsidR="004F68DA" w:rsidRPr="008D6368" w:rsidRDefault="00773007" w:rsidP="008D6368">
            <w:pPr>
              <w:spacing w:after="0" w:line="240" w:lineRule="auto"/>
              <w:contextualSpacing/>
              <w:rPr>
                <w:rFonts w:cstheme="minorHAnsi"/>
                <w:b/>
                <w:sz w:val="20"/>
                <w:szCs w:val="20"/>
              </w:rPr>
            </w:pPr>
            <w:r w:rsidRPr="008D6368">
              <w:rPr>
                <w:rFonts w:cstheme="minorHAnsi"/>
                <w:b/>
                <w:sz w:val="20"/>
                <w:szCs w:val="20"/>
              </w:rPr>
              <w:t>HW 3: Analysis in STATA</w:t>
            </w:r>
          </w:p>
        </w:tc>
        <w:tc>
          <w:tcPr>
            <w:tcW w:w="6066" w:type="dxa"/>
            <w:tcBorders>
              <w:top w:val="single" w:sz="2" w:space="0" w:color="000000"/>
              <w:bottom w:val="single" w:sz="2" w:space="0" w:color="000000"/>
            </w:tcBorders>
          </w:tcPr>
          <w:p w14:paraId="5B7DF0F6" w14:textId="77777777" w:rsidR="008D6368" w:rsidRPr="008D6368" w:rsidRDefault="008D6368" w:rsidP="008D6368">
            <w:pPr>
              <w:spacing w:line="240" w:lineRule="auto"/>
              <w:contextualSpacing/>
              <w:rPr>
                <w:rFonts w:cstheme="minorHAnsi"/>
                <w:iCs/>
                <w:sz w:val="20"/>
                <w:szCs w:val="20"/>
              </w:rPr>
            </w:pPr>
            <w:r w:rsidRPr="008D6368">
              <w:rPr>
                <w:rFonts w:cstheme="minorHAnsi"/>
                <w:iCs/>
                <w:sz w:val="20"/>
                <w:szCs w:val="20"/>
              </w:rPr>
              <w:t xml:space="preserve">Moher D, </w:t>
            </w:r>
            <w:proofErr w:type="spellStart"/>
            <w:r w:rsidRPr="008D6368">
              <w:rPr>
                <w:rFonts w:cstheme="minorHAnsi"/>
                <w:iCs/>
                <w:sz w:val="20"/>
                <w:szCs w:val="20"/>
              </w:rPr>
              <w:t>Olkin</w:t>
            </w:r>
            <w:proofErr w:type="spellEnd"/>
            <w:r w:rsidRPr="008D6368">
              <w:rPr>
                <w:rFonts w:cstheme="minorHAnsi"/>
                <w:iCs/>
                <w:sz w:val="20"/>
                <w:szCs w:val="20"/>
              </w:rPr>
              <w:t xml:space="preserve"> I. </w:t>
            </w:r>
            <w:hyperlink r:id="rId31" w:history="1">
              <w:r w:rsidRPr="008D6368">
                <w:rPr>
                  <w:rStyle w:val="Hyperlink"/>
                  <w:rFonts w:cstheme="minorHAnsi"/>
                  <w:iCs/>
                  <w:sz w:val="20"/>
                  <w:szCs w:val="20"/>
                </w:rPr>
                <w:t>Meta-analysis of Randomized Control Trials</w:t>
              </w:r>
            </w:hyperlink>
            <w:r w:rsidRPr="008D6368">
              <w:rPr>
                <w:rFonts w:cstheme="minorHAnsi"/>
                <w:iCs/>
                <w:sz w:val="20"/>
                <w:szCs w:val="20"/>
              </w:rPr>
              <w:t>. JAMA 1995:274(24)1962-64.</w:t>
            </w:r>
          </w:p>
          <w:p w14:paraId="099204CE" w14:textId="77777777" w:rsidR="008D6368" w:rsidRPr="008D6368" w:rsidRDefault="008D6368" w:rsidP="008D6368">
            <w:pPr>
              <w:spacing w:line="240" w:lineRule="auto"/>
              <w:contextualSpacing/>
              <w:rPr>
                <w:rFonts w:cstheme="minorHAnsi"/>
                <w:iCs/>
                <w:sz w:val="20"/>
                <w:szCs w:val="20"/>
              </w:rPr>
            </w:pPr>
            <w:r w:rsidRPr="008D6368">
              <w:rPr>
                <w:rFonts w:cstheme="minorHAnsi"/>
                <w:iCs/>
                <w:sz w:val="20"/>
                <w:szCs w:val="20"/>
              </w:rPr>
              <w:t xml:space="preserve"> </w:t>
            </w:r>
          </w:p>
          <w:p w14:paraId="41CF1AD8"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t xml:space="preserve">Moher D, </w:t>
            </w:r>
            <w:proofErr w:type="spellStart"/>
            <w:r w:rsidRPr="008D6368">
              <w:rPr>
                <w:rFonts w:cstheme="minorHAnsi"/>
                <w:sz w:val="20"/>
                <w:szCs w:val="20"/>
              </w:rPr>
              <w:t>Jadad</w:t>
            </w:r>
            <w:proofErr w:type="spellEnd"/>
            <w:r w:rsidRPr="008D6368">
              <w:rPr>
                <w:rFonts w:cstheme="minorHAnsi"/>
                <w:sz w:val="20"/>
                <w:szCs w:val="20"/>
              </w:rPr>
              <w:t xml:space="preserve"> AR, Nichol G, Penman M, </w:t>
            </w:r>
            <w:proofErr w:type="spellStart"/>
            <w:r w:rsidRPr="008D6368">
              <w:rPr>
                <w:rFonts w:cstheme="minorHAnsi"/>
                <w:sz w:val="20"/>
                <w:szCs w:val="20"/>
              </w:rPr>
              <w:t>Tugwell</w:t>
            </w:r>
            <w:proofErr w:type="spellEnd"/>
            <w:r w:rsidRPr="008D6368">
              <w:rPr>
                <w:rFonts w:cstheme="minorHAnsi"/>
                <w:sz w:val="20"/>
                <w:szCs w:val="20"/>
              </w:rPr>
              <w:t xml:space="preserve"> P, Walsh S. </w:t>
            </w:r>
            <w:hyperlink r:id="rId32" w:history="1">
              <w:r w:rsidRPr="008D6368">
                <w:rPr>
                  <w:rStyle w:val="Hyperlink"/>
                  <w:rFonts w:cstheme="minorHAnsi"/>
                  <w:sz w:val="20"/>
                  <w:szCs w:val="20"/>
                </w:rPr>
                <w:t>Assessing the Quality of Randomized Control Trials: An Annotated Bibliography of Scales and Checklists</w:t>
              </w:r>
            </w:hyperlink>
            <w:r w:rsidRPr="008D6368">
              <w:rPr>
                <w:rFonts w:cstheme="minorHAnsi"/>
                <w:sz w:val="20"/>
                <w:szCs w:val="20"/>
              </w:rPr>
              <w:t xml:space="preserve">. </w:t>
            </w:r>
          </w:p>
          <w:p w14:paraId="4145994D"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t>Controlled Clinical Trials 1995</w:t>
            </w:r>
            <w:proofErr w:type="gramStart"/>
            <w:r w:rsidRPr="008D6368">
              <w:rPr>
                <w:rFonts w:cstheme="minorHAnsi"/>
                <w:sz w:val="20"/>
                <w:szCs w:val="20"/>
              </w:rPr>
              <w:t>;16:62</w:t>
            </w:r>
            <w:proofErr w:type="gramEnd"/>
            <w:r w:rsidRPr="008D6368">
              <w:rPr>
                <w:rFonts w:cstheme="minorHAnsi"/>
                <w:sz w:val="20"/>
                <w:szCs w:val="20"/>
              </w:rPr>
              <w:t xml:space="preserve">-73. </w:t>
            </w:r>
          </w:p>
          <w:p w14:paraId="2616E7BB" w14:textId="77777777" w:rsidR="008D6368" w:rsidRPr="008D6368" w:rsidRDefault="008D6368" w:rsidP="008D6368">
            <w:pPr>
              <w:spacing w:line="240" w:lineRule="auto"/>
              <w:contextualSpacing/>
              <w:rPr>
                <w:rFonts w:cstheme="minorHAnsi"/>
                <w:iCs/>
                <w:sz w:val="20"/>
                <w:szCs w:val="20"/>
              </w:rPr>
            </w:pPr>
          </w:p>
          <w:p w14:paraId="57C4B2B8"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t xml:space="preserve">Assessing the quality of randomized control trials.  Current issues and future directions. </w:t>
            </w:r>
          </w:p>
          <w:p w14:paraId="3009291E"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t xml:space="preserve">Moher D, </w:t>
            </w:r>
            <w:proofErr w:type="spellStart"/>
            <w:r w:rsidRPr="008D6368">
              <w:rPr>
                <w:rFonts w:cstheme="minorHAnsi"/>
                <w:sz w:val="20"/>
                <w:szCs w:val="20"/>
              </w:rPr>
              <w:t>Jadad</w:t>
            </w:r>
            <w:proofErr w:type="spellEnd"/>
            <w:r w:rsidRPr="008D6368">
              <w:rPr>
                <w:rFonts w:cstheme="minorHAnsi"/>
                <w:sz w:val="20"/>
                <w:szCs w:val="20"/>
              </w:rPr>
              <w:t xml:space="preserve"> AR, </w:t>
            </w:r>
            <w:proofErr w:type="spellStart"/>
            <w:r w:rsidRPr="008D6368">
              <w:rPr>
                <w:rFonts w:cstheme="minorHAnsi"/>
                <w:sz w:val="20"/>
                <w:szCs w:val="20"/>
              </w:rPr>
              <w:t>Tugwell</w:t>
            </w:r>
            <w:proofErr w:type="spellEnd"/>
            <w:r w:rsidRPr="008D6368">
              <w:rPr>
                <w:rFonts w:cstheme="minorHAnsi"/>
                <w:sz w:val="20"/>
                <w:szCs w:val="20"/>
              </w:rPr>
              <w:t xml:space="preserve"> P. Int’l J of Technology Assessment in Health Care 1996;12-1;196-208  (see Canvas)</w:t>
            </w:r>
          </w:p>
          <w:p w14:paraId="6A7B296E" w14:textId="77777777" w:rsidR="008D6368" w:rsidRPr="008D6368" w:rsidRDefault="008D6368" w:rsidP="008D6368">
            <w:pPr>
              <w:spacing w:line="240" w:lineRule="auto"/>
              <w:contextualSpacing/>
              <w:rPr>
                <w:rFonts w:cstheme="minorHAnsi"/>
                <w:sz w:val="20"/>
                <w:szCs w:val="20"/>
              </w:rPr>
            </w:pPr>
          </w:p>
          <w:p w14:paraId="11F15062" w14:textId="77777777" w:rsidR="008D6368" w:rsidRPr="008D6368" w:rsidRDefault="008D6368" w:rsidP="008D6368">
            <w:pPr>
              <w:spacing w:line="240" w:lineRule="auto"/>
              <w:contextualSpacing/>
              <w:rPr>
                <w:rFonts w:cstheme="minorHAnsi"/>
                <w:iCs/>
                <w:sz w:val="20"/>
                <w:szCs w:val="20"/>
              </w:rPr>
            </w:pPr>
            <w:r w:rsidRPr="008D6368">
              <w:rPr>
                <w:rFonts w:cstheme="minorHAnsi"/>
                <w:sz w:val="20"/>
                <w:szCs w:val="20"/>
              </w:rPr>
              <w:t>Stewart LA, Palmer MK. Bias in the analysis and reporting of randomized controlled trials. Int’l J of Technology Assessment in Health Care 1996</w:t>
            </w:r>
            <w:proofErr w:type="gramStart"/>
            <w:r w:rsidRPr="008D6368">
              <w:rPr>
                <w:rFonts w:cstheme="minorHAnsi"/>
                <w:sz w:val="20"/>
                <w:szCs w:val="20"/>
              </w:rPr>
              <w:t>;12</w:t>
            </w:r>
            <w:proofErr w:type="gramEnd"/>
            <w:r w:rsidRPr="008D6368">
              <w:rPr>
                <w:rFonts w:cstheme="minorHAnsi"/>
                <w:sz w:val="20"/>
                <w:szCs w:val="20"/>
              </w:rPr>
              <w:t>-2:264-275.</w:t>
            </w:r>
          </w:p>
          <w:p w14:paraId="71A576E5" w14:textId="77777777" w:rsidR="008D6368" w:rsidRPr="008D6368" w:rsidRDefault="008D6368" w:rsidP="008D6368">
            <w:pPr>
              <w:spacing w:line="240" w:lineRule="auto"/>
              <w:contextualSpacing/>
              <w:rPr>
                <w:rFonts w:cstheme="minorHAnsi"/>
                <w:iCs/>
                <w:sz w:val="20"/>
                <w:szCs w:val="20"/>
              </w:rPr>
            </w:pPr>
          </w:p>
          <w:p w14:paraId="73CF3157" w14:textId="77777777" w:rsidR="008D6368" w:rsidRPr="008D6368" w:rsidRDefault="008D6368" w:rsidP="008D6368">
            <w:pPr>
              <w:spacing w:line="240" w:lineRule="auto"/>
              <w:contextualSpacing/>
              <w:rPr>
                <w:rFonts w:cstheme="minorHAnsi"/>
                <w:i/>
                <w:sz w:val="20"/>
                <w:szCs w:val="20"/>
              </w:rPr>
            </w:pPr>
            <w:r w:rsidRPr="008D6368">
              <w:rPr>
                <w:rFonts w:cstheme="minorHAnsi"/>
                <w:i/>
                <w:sz w:val="20"/>
                <w:szCs w:val="20"/>
              </w:rPr>
              <w:t xml:space="preserve">Additional readings: </w:t>
            </w:r>
          </w:p>
          <w:p w14:paraId="6EA4C413" w14:textId="77777777" w:rsidR="008D6368" w:rsidRPr="008D6368" w:rsidRDefault="008D6368" w:rsidP="008D6368">
            <w:pPr>
              <w:spacing w:line="240" w:lineRule="auto"/>
              <w:contextualSpacing/>
              <w:rPr>
                <w:rFonts w:cstheme="minorHAnsi"/>
                <w:sz w:val="20"/>
                <w:szCs w:val="20"/>
              </w:rPr>
            </w:pPr>
            <w:proofErr w:type="spellStart"/>
            <w:r w:rsidRPr="008D6368">
              <w:rPr>
                <w:rFonts w:cstheme="minorHAnsi"/>
                <w:sz w:val="20"/>
                <w:szCs w:val="20"/>
              </w:rPr>
              <w:t>Borenstein</w:t>
            </w:r>
            <w:proofErr w:type="spellEnd"/>
            <w:r w:rsidRPr="008D6368">
              <w:rPr>
                <w:rFonts w:cstheme="minorHAnsi"/>
                <w:sz w:val="20"/>
                <w:szCs w:val="20"/>
              </w:rPr>
              <w:t>, Chapter 44</w:t>
            </w:r>
          </w:p>
          <w:p w14:paraId="6DFEA2EB" w14:textId="11E36520" w:rsidR="004F68DA" w:rsidRPr="008D6368" w:rsidRDefault="004F68DA" w:rsidP="008D6368">
            <w:pPr>
              <w:spacing w:after="0" w:line="240" w:lineRule="auto"/>
              <w:contextualSpacing/>
              <w:rPr>
                <w:rFonts w:cstheme="minorHAnsi"/>
                <w:sz w:val="20"/>
                <w:szCs w:val="20"/>
              </w:rPr>
            </w:pPr>
          </w:p>
        </w:tc>
      </w:tr>
      <w:tr w:rsidR="004F68DA" w:rsidRPr="008D6368" w14:paraId="47A18D90" w14:textId="5CBD0702" w:rsidTr="00557CE3">
        <w:trPr>
          <w:trHeight w:val="432"/>
        </w:trPr>
        <w:tc>
          <w:tcPr>
            <w:tcW w:w="741" w:type="dxa"/>
            <w:tcBorders>
              <w:top w:val="single" w:sz="2" w:space="0" w:color="000000"/>
              <w:bottom w:val="single" w:sz="2" w:space="0" w:color="000000"/>
            </w:tcBorders>
          </w:tcPr>
          <w:p w14:paraId="4372DDBD" w14:textId="77777777" w:rsidR="004F68DA" w:rsidRPr="008D6368" w:rsidRDefault="004F68DA" w:rsidP="00557CE3">
            <w:pPr>
              <w:spacing w:after="0" w:line="240" w:lineRule="auto"/>
              <w:contextualSpacing/>
              <w:rPr>
                <w:rFonts w:cstheme="minorHAnsi"/>
                <w:b/>
                <w:sz w:val="20"/>
                <w:szCs w:val="20"/>
              </w:rPr>
            </w:pPr>
            <w:r w:rsidRPr="008D6368">
              <w:rPr>
                <w:rFonts w:cstheme="minorHAnsi"/>
                <w:b/>
                <w:sz w:val="20"/>
                <w:szCs w:val="20"/>
              </w:rPr>
              <w:t>Class 9</w:t>
            </w:r>
          </w:p>
        </w:tc>
        <w:tc>
          <w:tcPr>
            <w:tcW w:w="785" w:type="dxa"/>
            <w:tcBorders>
              <w:top w:val="single" w:sz="2" w:space="0" w:color="000000"/>
              <w:bottom w:val="single" w:sz="2" w:space="0" w:color="000000"/>
            </w:tcBorders>
          </w:tcPr>
          <w:p w14:paraId="28B179D9" w14:textId="51862BB4" w:rsidR="004F68DA" w:rsidRPr="008D6368" w:rsidRDefault="00E87BDF" w:rsidP="00557CE3">
            <w:pPr>
              <w:spacing w:after="0" w:line="240" w:lineRule="auto"/>
              <w:contextualSpacing/>
              <w:rPr>
                <w:rFonts w:cstheme="minorHAnsi"/>
                <w:sz w:val="20"/>
                <w:szCs w:val="20"/>
              </w:rPr>
            </w:pPr>
            <w:r w:rsidRPr="008D6368">
              <w:rPr>
                <w:rFonts w:cstheme="minorHAnsi"/>
                <w:sz w:val="20"/>
                <w:szCs w:val="20"/>
              </w:rPr>
              <w:t>March 13</w:t>
            </w:r>
          </w:p>
          <w:p w14:paraId="3B9C39AC" w14:textId="5E2BE7AB" w:rsidR="004F68DA" w:rsidRPr="008D6368" w:rsidRDefault="004F68DA" w:rsidP="00557CE3">
            <w:pPr>
              <w:spacing w:after="0" w:line="240" w:lineRule="auto"/>
              <w:contextualSpacing/>
              <w:rPr>
                <w:rFonts w:cstheme="minorHAnsi"/>
                <w:sz w:val="20"/>
                <w:szCs w:val="20"/>
              </w:rPr>
            </w:pPr>
          </w:p>
          <w:p w14:paraId="735D4C08" w14:textId="77777777" w:rsidR="004F68DA" w:rsidRPr="008D6368" w:rsidRDefault="004F68DA" w:rsidP="00557CE3">
            <w:pPr>
              <w:spacing w:after="0" w:line="240" w:lineRule="auto"/>
              <w:contextualSpacing/>
              <w:rPr>
                <w:rFonts w:cstheme="minorHAnsi"/>
                <w:sz w:val="20"/>
                <w:szCs w:val="20"/>
              </w:rPr>
            </w:pPr>
          </w:p>
        </w:tc>
        <w:tc>
          <w:tcPr>
            <w:tcW w:w="1559" w:type="dxa"/>
            <w:tcBorders>
              <w:top w:val="single" w:sz="2" w:space="0" w:color="000000"/>
              <w:bottom w:val="single" w:sz="2" w:space="0" w:color="000000"/>
            </w:tcBorders>
          </w:tcPr>
          <w:p w14:paraId="5845016C" w14:textId="7660A2BA" w:rsidR="004F68DA" w:rsidRPr="008D6368" w:rsidRDefault="00773007" w:rsidP="00557CE3">
            <w:pPr>
              <w:spacing w:after="0" w:line="240" w:lineRule="auto"/>
              <w:contextualSpacing/>
              <w:rPr>
                <w:rFonts w:cstheme="minorHAnsi"/>
                <w:sz w:val="20"/>
                <w:szCs w:val="20"/>
              </w:rPr>
            </w:pPr>
            <w:r w:rsidRPr="008D6368">
              <w:rPr>
                <w:rFonts w:cstheme="minorHAnsi"/>
                <w:sz w:val="20"/>
                <w:szCs w:val="20"/>
              </w:rPr>
              <w:lastRenderedPageBreak/>
              <w:t>SPRING BREAK</w:t>
            </w:r>
          </w:p>
          <w:p w14:paraId="2C9768F0" w14:textId="518D0882" w:rsidR="004F68DA" w:rsidRPr="008D6368" w:rsidRDefault="004F68DA" w:rsidP="00557CE3">
            <w:pPr>
              <w:spacing w:after="0" w:line="240" w:lineRule="auto"/>
              <w:contextualSpacing/>
              <w:rPr>
                <w:rFonts w:cstheme="minorHAnsi"/>
                <w:b/>
                <w:sz w:val="20"/>
                <w:szCs w:val="20"/>
              </w:rPr>
            </w:pPr>
          </w:p>
        </w:tc>
        <w:tc>
          <w:tcPr>
            <w:tcW w:w="785" w:type="dxa"/>
            <w:tcBorders>
              <w:top w:val="single" w:sz="2" w:space="0" w:color="000000"/>
              <w:bottom w:val="single" w:sz="2" w:space="0" w:color="000000"/>
            </w:tcBorders>
          </w:tcPr>
          <w:p w14:paraId="2882C214" w14:textId="2F4F2CDB" w:rsidR="004F68DA" w:rsidRPr="008D6368" w:rsidRDefault="004F68DA" w:rsidP="008D6368">
            <w:pPr>
              <w:spacing w:after="0" w:line="240" w:lineRule="auto"/>
              <w:ind w:left="360"/>
              <w:contextualSpacing/>
              <w:rPr>
                <w:rFonts w:cstheme="minorHAnsi"/>
                <w:sz w:val="20"/>
                <w:szCs w:val="20"/>
              </w:rPr>
            </w:pPr>
          </w:p>
        </w:tc>
        <w:tc>
          <w:tcPr>
            <w:tcW w:w="6066" w:type="dxa"/>
            <w:tcBorders>
              <w:top w:val="single" w:sz="2" w:space="0" w:color="000000"/>
              <w:bottom w:val="single" w:sz="2" w:space="0" w:color="000000"/>
            </w:tcBorders>
          </w:tcPr>
          <w:p w14:paraId="5AC2B875" w14:textId="538ECE07" w:rsidR="004F68DA" w:rsidRPr="008D6368" w:rsidRDefault="004F68DA" w:rsidP="008D6368">
            <w:pPr>
              <w:spacing w:after="0" w:line="240" w:lineRule="auto"/>
              <w:ind w:left="360"/>
              <w:contextualSpacing/>
              <w:rPr>
                <w:rFonts w:cstheme="minorHAnsi"/>
                <w:sz w:val="20"/>
                <w:szCs w:val="20"/>
              </w:rPr>
            </w:pPr>
          </w:p>
        </w:tc>
      </w:tr>
      <w:tr w:rsidR="004F68DA" w:rsidRPr="008D6368" w14:paraId="343B9071" w14:textId="7B2B4D72" w:rsidTr="00557CE3">
        <w:trPr>
          <w:trHeight w:val="432"/>
        </w:trPr>
        <w:tc>
          <w:tcPr>
            <w:tcW w:w="741" w:type="dxa"/>
            <w:tcBorders>
              <w:top w:val="single" w:sz="2" w:space="0" w:color="000000"/>
              <w:bottom w:val="single" w:sz="2" w:space="0" w:color="000000"/>
            </w:tcBorders>
          </w:tcPr>
          <w:p w14:paraId="1BC0A701" w14:textId="77777777" w:rsidR="004F68DA" w:rsidRPr="008D6368" w:rsidRDefault="004F68DA" w:rsidP="00557CE3">
            <w:pPr>
              <w:spacing w:after="0" w:line="240" w:lineRule="auto"/>
              <w:contextualSpacing/>
              <w:rPr>
                <w:rFonts w:cstheme="minorHAnsi"/>
                <w:b/>
                <w:sz w:val="20"/>
                <w:szCs w:val="20"/>
              </w:rPr>
            </w:pPr>
            <w:r w:rsidRPr="008D6368">
              <w:rPr>
                <w:rFonts w:cstheme="minorHAnsi"/>
                <w:b/>
                <w:sz w:val="20"/>
                <w:szCs w:val="20"/>
              </w:rPr>
              <w:t>Class 10</w:t>
            </w:r>
          </w:p>
        </w:tc>
        <w:tc>
          <w:tcPr>
            <w:tcW w:w="785" w:type="dxa"/>
            <w:tcBorders>
              <w:top w:val="single" w:sz="2" w:space="0" w:color="000000"/>
              <w:bottom w:val="single" w:sz="2" w:space="0" w:color="000000"/>
            </w:tcBorders>
          </w:tcPr>
          <w:p w14:paraId="48D39519" w14:textId="666D761A" w:rsidR="004F68DA" w:rsidRPr="008D6368" w:rsidRDefault="00E87BDF" w:rsidP="00557CE3">
            <w:pPr>
              <w:spacing w:after="0" w:line="240" w:lineRule="auto"/>
              <w:contextualSpacing/>
              <w:rPr>
                <w:rFonts w:cstheme="minorHAnsi"/>
                <w:sz w:val="20"/>
                <w:szCs w:val="20"/>
              </w:rPr>
            </w:pPr>
            <w:r w:rsidRPr="008D6368">
              <w:rPr>
                <w:rFonts w:cstheme="minorHAnsi"/>
                <w:sz w:val="20"/>
                <w:szCs w:val="20"/>
              </w:rPr>
              <w:t>March 20</w:t>
            </w:r>
          </w:p>
          <w:p w14:paraId="780BC1B6" w14:textId="5563851A" w:rsidR="004F68DA" w:rsidRPr="008D6368" w:rsidRDefault="004F68DA" w:rsidP="00557CE3">
            <w:pPr>
              <w:spacing w:after="0" w:line="240" w:lineRule="auto"/>
              <w:contextualSpacing/>
              <w:rPr>
                <w:rFonts w:cstheme="minorHAnsi"/>
                <w:sz w:val="20"/>
                <w:szCs w:val="20"/>
              </w:rPr>
            </w:pPr>
          </w:p>
          <w:p w14:paraId="761356F4" w14:textId="77777777" w:rsidR="004F68DA" w:rsidRPr="008D6368" w:rsidRDefault="004F68DA" w:rsidP="00557CE3">
            <w:pPr>
              <w:spacing w:after="0" w:line="240" w:lineRule="auto"/>
              <w:contextualSpacing/>
              <w:rPr>
                <w:rFonts w:cstheme="minorHAnsi"/>
                <w:sz w:val="20"/>
                <w:szCs w:val="20"/>
              </w:rPr>
            </w:pPr>
          </w:p>
          <w:p w14:paraId="5EFBC7F3" w14:textId="77777777" w:rsidR="004F68DA" w:rsidRPr="008D6368" w:rsidRDefault="004F68DA" w:rsidP="00557CE3">
            <w:pPr>
              <w:spacing w:after="0" w:line="240" w:lineRule="auto"/>
              <w:contextualSpacing/>
              <w:rPr>
                <w:rFonts w:cstheme="minorHAnsi"/>
                <w:sz w:val="20"/>
                <w:szCs w:val="20"/>
              </w:rPr>
            </w:pPr>
          </w:p>
          <w:p w14:paraId="7C32921C" w14:textId="77777777" w:rsidR="004F68DA" w:rsidRPr="008D6368" w:rsidRDefault="004F68DA" w:rsidP="00557CE3">
            <w:pPr>
              <w:spacing w:after="0" w:line="240" w:lineRule="auto"/>
              <w:contextualSpacing/>
              <w:rPr>
                <w:rFonts w:cstheme="minorHAnsi"/>
                <w:sz w:val="20"/>
                <w:szCs w:val="20"/>
              </w:rPr>
            </w:pPr>
          </w:p>
        </w:tc>
        <w:tc>
          <w:tcPr>
            <w:tcW w:w="1559" w:type="dxa"/>
            <w:tcBorders>
              <w:top w:val="single" w:sz="2" w:space="0" w:color="000000"/>
              <w:bottom w:val="single" w:sz="2" w:space="0" w:color="000000"/>
            </w:tcBorders>
          </w:tcPr>
          <w:p w14:paraId="45929D34" w14:textId="294B2E4B" w:rsidR="004F68DA" w:rsidRPr="008D6368" w:rsidRDefault="00773007" w:rsidP="00557CE3">
            <w:pPr>
              <w:spacing w:after="0" w:line="240" w:lineRule="auto"/>
              <w:contextualSpacing/>
              <w:rPr>
                <w:rFonts w:cstheme="minorHAnsi"/>
                <w:sz w:val="20"/>
                <w:szCs w:val="20"/>
              </w:rPr>
            </w:pPr>
            <w:r w:rsidRPr="008D6368">
              <w:rPr>
                <w:rFonts w:cstheme="minorHAnsi"/>
                <w:sz w:val="20"/>
                <w:szCs w:val="20"/>
              </w:rPr>
              <w:t>STUDENT PRESENTATIONS</w:t>
            </w:r>
          </w:p>
          <w:p w14:paraId="443BAAEB" w14:textId="5F5B5854" w:rsidR="00773007" w:rsidRPr="008D6368" w:rsidRDefault="00773007" w:rsidP="00557CE3">
            <w:pPr>
              <w:spacing w:after="0" w:line="240" w:lineRule="auto"/>
              <w:contextualSpacing/>
              <w:rPr>
                <w:rFonts w:cstheme="minorHAnsi"/>
                <w:sz w:val="20"/>
                <w:szCs w:val="20"/>
              </w:rPr>
            </w:pPr>
            <w:r w:rsidRPr="008D6368">
              <w:rPr>
                <w:rFonts w:cstheme="minorHAnsi"/>
                <w:sz w:val="20"/>
                <w:szCs w:val="20"/>
              </w:rPr>
              <w:t>Extraction form</w:t>
            </w:r>
          </w:p>
          <w:p w14:paraId="059EB2BC" w14:textId="77777777" w:rsidR="004F68DA" w:rsidRPr="008D6368" w:rsidRDefault="004F68DA" w:rsidP="00557CE3">
            <w:pPr>
              <w:spacing w:after="0" w:line="240" w:lineRule="auto"/>
              <w:contextualSpacing/>
              <w:rPr>
                <w:rFonts w:cstheme="minorHAnsi"/>
                <w:sz w:val="20"/>
                <w:szCs w:val="20"/>
              </w:rPr>
            </w:pPr>
          </w:p>
        </w:tc>
        <w:tc>
          <w:tcPr>
            <w:tcW w:w="785" w:type="dxa"/>
            <w:tcBorders>
              <w:top w:val="single" w:sz="2" w:space="0" w:color="000000"/>
              <w:bottom w:val="single" w:sz="2" w:space="0" w:color="000000"/>
            </w:tcBorders>
          </w:tcPr>
          <w:p w14:paraId="5D943F82" w14:textId="00DD515A" w:rsidR="004F68DA" w:rsidRPr="008D6368" w:rsidRDefault="00773007" w:rsidP="008D6368">
            <w:pPr>
              <w:spacing w:after="0" w:line="240" w:lineRule="auto"/>
              <w:contextualSpacing/>
              <w:rPr>
                <w:rFonts w:cstheme="minorHAnsi"/>
                <w:b/>
                <w:sz w:val="20"/>
                <w:szCs w:val="20"/>
              </w:rPr>
            </w:pPr>
            <w:r w:rsidRPr="008D6368">
              <w:rPr>
                <w:rFonts w:cstheme="minorHAnsi"/>
                <w:b/>
                <w:sz w:val="20"/>
                <w:szCs w:val="20"/>
              </w:rPr>
              <w:t>HW 4: Data extraction</w:t>
            </w:r>
          </w:p>
        </w:tc>
        <w:tc>
          <w:tcPr>
            <w:tcW w:w="6066" w:type="dxa"/>
            <w:tcBorders>
              <w:top w:val="single" w:sz="2" w:space="0" w:color="000000"/>
              <w:bottom w:val="single" w:sz="2" w:space="0" w:color="000000"/>
            </w:tcBorders>
          </w:tcPr>
          <w:p w14:paraId="474712AA" w14:textId="3B5C4372" w:rsidR="004F68DA" w:rsidRPr="008D6368" w:rsidRDefault="004F68DA" w:rsidP="008D6368">
            <w:pPr>
              <w:spacing w:after="0" w:line="240" w:lineRule="auto"/>
              <w:contextualSpacing/>
              <w:rPr>
                <w:rFonts w:cstheme="minorHAnsi"/>
                <w:sz w:val="20"/>
                <w:szCs w:val="20"/>
              </w:rPr>
            </w:pPr>
          </w:p>
        </w:tc>
      </w:tr>
      <w:tr w:rsidR="004F68DA" w:rsidRPr="008D6368" w14:paraId="5B5F0A84" w14:textId="0CA3CE2A" w:rsidTr="00557CE3">
        <w:trPr>
          <w:trHeight w:val="432"/>
        </w:trPr>
        <w:tc>
          <w:tcPr>
            <w:tcW w:w="741" w:type="dxa"/>
            <w:tcBorders>
              <w:top w:val="single" w:sz="2" w:space="0" w:color="000000"/>
              <w:bottom w:val="single" w:sz="2" w:space="0" w:color="000000"/>
            </w:tcBorders>
          </w:tcPr>
          <w:p w14:paraId="6C211717" w14:textId="77777777" w:rsidR="004F68DA" w:rsidRPr="008D6368" w:rsidRDefault="004F68DA" w:rsidP="00557CE3">
            <w:pPr>
              <w:spacing w:after="0" w:line="240" w:lineRule="auto"/>
              <w:contextualSpacing/>
              <w:rPr>
                <w:rFonts w:cstheme="minorHAnsi"/>
                <w:b/>
                <w:sz w:val="20"/>
                <w:szCs w:val="20"/>
              </w:rPr>
            </w:pPr>
            <w:r w:rsidRPr="008D6368">
              <w:rPr>
                <w:rFonts w:cstheme="minorHAnsi"/>
                <w:b/>
                <w:sz w:val="20"/>
                <w:szCs w:val="20"/>
              </w:rPr>
              <w:t>Class 11</w:t>
            </w:r>
          </w:p>
        </w:tc>
        <w:tc>
          <w:tcPr>
            <w:tcW w:w="785" w:type="dxa"/>
            <w:tcBorders>
              <w:top w:val="single" w:sz="2" w:space="0" w:color="000000"/>
              <w:bottom w:val="single" w:sz="2" w:space="0" w:color="000000"/>
            </w:tcBorders>
          </w:tcPr>
          <w:p w14:paraId="4C7FB79A" w14:textId="10E397AB" w:rsidR="004F68DA" w:rsidRPr="008D6368" w:rsidRDefault="00E87BDF" w:rsidP="00557CE3">
            <w:pPr>
              <w:pStyle w:val="NoSpacing"/>
              <w:contextualSpacing/>
              <w:rPr>
                <w:rFonts w:cstheme="minorHAnsi"/>
                <w:sz w:val="20"/>
                <w:szCs w:val="20"/>
              </w:rPr>
            </w:pPr>
            <w:r w:rsidRPr="008D6368">
              <w:rPr>
                <w:rFonts w:cstheme="minorHAnsi"/>
                <w:sz w:val="20"/>
                <w:szCs w:val="20"/>
              </w:rPr>
              <w:t>March 27</w:t>
            </w:r>
          </w:p>
          <w:p w14:paraId="5AB37EA9" w14:textId="65F62B8E" w:rsidR="004F68DA" w:rsidRPr="008D6368" w:rsidRDefault="004F68DA" w:rsidP="00557CE3">
            <w:pPr>
              <w:pStyle w:val="NoSpacing"/>
              <w:contextualSpacing/>
              <w:rPr>
                <w:rFonts w:cstheme="minorHAnsi"/>
                <w:sz w:val="20"/>
                <w:szCs w:val="20"/>
              </w:rPr>
            </w:pPr>
          </w:p>
        </w:tc>
        <w:tc>
          <w:tcPr>
            <w:tcW w:w="1559" w:type="dxa"/>
            <w:tcBorders>
              <w:top w:val="single" w:sz="2" w:space="0" w:color="000000"/>
              <w:bottom w:val="single" w:sz="2" w:space="0" w:color="000000"/>
            </w:tcBorders>
          </w:tcPr>
          <w:p w14:paraId="5241CABC" w14:textId="2D0909F5" w:rsidR="004F68DA" w:rsidRPr="008D6368" w:rsidRDefault="00773007" w:rsidP="00557CE3">
            <w:pPr>
              <w:pStyle w:val="NoSpacing"/>
              <w:contextualSpacing/>
              <w:rPr>
                <w:rFonts w:cstheme="minorHAnsi"/>
                <w:sz w:val="20"/>
                <w:szCs w:val="20"/>
              </w:rPr>
            </w:pPr>
            <w:r w:rsidRPr="008D6368">
              <w:rPr>
                <w:rFonts w:cstheme="minorHAnsi"/>
                <w:sz w:val="20"/>
                <w:szCs w:val="20"/>
              </w:rPr>
              <w:t>Meta-analysis in STATA</w:t>
            </w:r>
          </w:p>
          <w:p w14:paraId="4ECFBD6A" w14:textId="5512DE4D" w:rsidR="00773007" w:rsidRPr="008D6368" w:rsidRDefault="00773007" w:rsidP="00557CE3">
            <w:pPr>
              <w:pStyle w:val="NoSpacing"/>
              <w:contextualSpacing/>
              <w:rPr>
                <w:rFonts w:cstheme="minorHAnsi"/>
                <w:sz w:val="20"/>
                <w:szCs w:val="20"/>
              </w:rPr>
            </w:pPr>
            <w:r w:rsidRPr="008D6368">
              <w:rPr>
                <w:rFonts w:cstheme="minorHAnsi"/>
                <w:sz w:val="20"/>
                <w:szCs w:val="20"/>
              </w:rPr>
              <w:t>Computer Lab 2</w:t>
            </w:r>
          </w:p>
          <w:p w14:paraId="4C93C0FA" w14:textId="645461AE" w:rsidR="004F68DA" w:rsidRPr="008D6368" w:rsidRDefault="004F68DA" w:rsidP="00557CE3">
            <w:pPr>
              <w:pStyle w:val="NoSpacing"/>
              <w:contextualSpacing/>
              <w:rPr>
                <w:rFonts w:cstheme="minorHAnsi"/>
                <w:sz w:val="20"/>
                <w:szCs w:val="20"/>
              </w:rPr>
            </w:pPr>
          </w:p>
        </w:tc>
        <w:tc>
          <w:tcPr>
            <w:tcW w:w="785" w:type="dxa"/>
            <w:tcBorders>
              <w:top w:val="single" w:sz="2" w:space="0" w:color="000000"/>
              <w:bottom w:val="single" w:sz="2" w:space="0" w:color="000000"/>
            </w:tcBorders>
          </w:tcPr>
          <w:p w14:paraId="31DB78C0" w14:textId="77777777" w:rsidR="004F68DA" w:rsidRPr="008D6368" w:rsidRDefault="004F68DA" w:rsidP="008D6368">
            <w:pPr>
              <w:pStyle w:val="NoSpacing"/>
              <w:contextualSpacing/>
              <w:rPr>
                <w:rFonts w:cstheme="minorHAnsi"/>
                <w:sz w:val="20"/>
                <w:szCs w:val="20"/>
              </w:rPr>
            </w:pPr>
          </w:p>
        </w:tc>
        <w:tc>
          <w:tcPr>
            <w:tcW w:w="6066" w:type="dxa"/>
            <w:tcBorders>
              <w:top w:val="single" w:sz="2" w:space="0" w:color="000000"/>
              <w:bottom w:val="single" w:sz="2" w:space="0" w:color="000000"/>
            </w:tcBorders>
          </w:tcPr>
          <w:p w14:paraId="0328E2E6" w14:textId="1B5548ED" w:rsidR="004F68DA" w:rsidRPr="008D6368" w:rsidRDefault="004F68DA" w:rsidP="008D6368">
            <w:pPr>
              <w:pStyle w:val="NoSpacing"/>
              <w:contextualSpacing/>
              <w:rPr>
                <w:rFonts w:cstheme="minorHAnsi"/>
                <w:sz w:val="20"/>
                <w:szCs w:val="20"/>
              </w:rPr>
            </w:pPr>
          </w:p>
        </w:tc>
      </w:tr>
      <w:tr w:rsidR="004F68DA" w:rsidRPr="008D6368" w14:paraId="77A1B876" w14:textId="52954986" w:rsidTr="00557CE3">
        <w:trPr>
          <w:trHeight w:val="432"/>
        </w:trPr>
        <w:tc>
          <w:tcPr>
            <w:tcW w:w="741" w:type="dxa"/>
            <w:tcBorders>
              <w:top w:val="single" w:sz="2" w:space="0" w:color="000000"/>
              <w:bottom w:val="single" w:sz="2" w:space="0" w:color="000000"/>
            </w:tcBorders>
          </w:tcPr>
          <w:p w14:paraId="68233FAB" w14:textId="77777777" w:rsidR="004F68DA" w:rsidRPr="008D6368" w:rsidRDefault="004F68DA" w:rsidP="00557CE3">
            <w:pPr>
              <w:spacing w:after="0" w:line="240" w:lineRule="auto"/>
              <w:contextualSpacing/>
              <w:rPr>
                <w:rFonts w:cstheme="minorHAnsi"/>
                <w:b/>
                <w:sz w:val="20"/>
                <w:szCs w:val="20"/>
              </w:rPr>
            </w:pPr>
            <w:r w:rsidRPr="008D6368">
              <w:rPr>
                <w:rFonts w:cstheme="minorHAnsi"/>
                <w:b/>
                <w:sz w:val="20"/>
                <w:szCs w:val="20"/>
              </w:rPr>
              <w:t>Class 12</w:t>
            </w:r>
          </w:p>
        </w:tc>
        <w:tc>
          <w:tcPr>
            <w:tcW w:w="785" w:type="dxa"/>
            <w:tcBorders>
              <w:top w:val="single" w:sz="2" w:space="0" w:color="000000"/>
              <w:bottom w:val="single" w:sz="2" w:space="0" w:color="000000"/>
            </w:tcBorders>
          </w:tcPr>
          <w:p w14:paraId="2B4E7B88" w14:textId="529FEF87" w:rsidR="004F68DA" w:rsidRPr="008D6368" w:rsidRDefault="00E87BDF" w:rsidP="00557CE3">
            <w:pPr>
              <w:spacing w:after="0" w:line="240" w:lineRule="auto"/>
              <w:contextualSpacing/>
              <w:rPr>
                <w:rFonts w:cstheme="minorHAnsi"/>
                <w:sz w:val="20"/>
                <w:szCs w:val="20"/>
              </w:rPr>
            </w:pPr>
            <w:r w:rsidRPr="008D6368">
              <w:rPr>
                <w:rFonts w:cstheme="minorHAnsi"/>
                <w:sz w:val="20"/>
                <w:szCs w:val="20"/>
              </w:rPr>
              <w:t>April 3</w:t>
            </w:r>
          </w:p>
          <w:p w14:paraId="7CE5E645" w14:textId="77777777" w:rsidR="004F68DA" w:rsidRPr="008D6368" w:rsidRDefault="004F68DA" w:rsidP="00557CE3">
            <w:pPr>
              <w:spacing w:after="0" w:line="240" w:lineRule="auto"/>
              <w:contextualSpacing/>
              <w:rPr>
                <w:rFonts w:cstheme="minorHAnsi"/>
                <w:sz w:val="20"/>
                <w:szCs w:val="20"/>
              </w:rPr>
            </w:pPr>
          </w:p>
          <w:p w14:paraId="1ABFEB6A" w14:textId="77777777" w:rsidR="004F68DA" w:rsidRPr="008D6368" w:rsidRDefault="004F68DA" w:rsidP="00557CE3">
            <w:pPr>
              <w:spacing w:after="0" w:line="240" w:lineRule="auto"/>
              <w:contextualSpacing/>
              <w:rPr>
                <w:rFonts w:cstheme="minorHAnsi"/>
                <w:sz w:val="20"/>
                <w:szCs w:val="20"/>
              </w:rPr>
            </w:pPr>
          </w:p>
        </w:tc>
        <w:tc>
          <w:tcPr>
            <w:tcW w:w="1559" w:type="dxa"/>
            <w:tcBorders>
              <w:top w:val="single" w:sz="2" w:space="0" w:color="000000"/>
              <w:bottom w:val="single" w:sz="2" w:space="0" w:color="000000"/>
            </w:tcBorders>
          </w:tcPr>
          <w:p w14:paraId="3CCF4BF5" w14:textId="1BC420AF" w:rsidR="004F68DA" w:rsidRPr="008D6368" w:rsidRDefault="00773007" w:rsidP="00557CE3">
            <w:pPr>
              <w:spacing w:after="0" w:line="240" w:lineRule="auto"/>
              <w:contextualSpacing/>
              <w:rPr>
                <w:rFonts w:cstheme="minorHAnsi"/>
                <w:sz w:val="20"/>
                <w:szCs w:val="20"/>
              </w:rPr>
            </w:pPr>
            <w:r w:rsidRPr="008D6368">
              <w:rPr>
                <w:rFonts w:cstheme="minorHAnsi"/>
                <w:sz w:val="20"/>
                <w:szCs w:val="20"/>
              </w:rPr>
              <w:t>Analysis combining individual patient data</w:t>
            </w:r>
          </w:p>
        </w:tc>
        <w:tc>
          <w:tcPr>
            <w:tcW w:w="785" w:type="dxa"/>
            <w:tcBorders>
              <w:top w:val="single" w:sz="2" w:space="0" w:color="000000"/>
              <w:bottom w:val="single" w:sz="2" w:space="0" w:color="000000"/>
            </w:tcBorders>
          </w:tcPr>
          <w:p w14:paraId="5ABA198E" w14:textId="77777777" w:rsidR="004F68DA" w:rsidRPr="008D6368" w:rsidRDefault="004F68DA" w:rsidP="008D6368">
            <w:pPr>
              <w:spacing w:after="0" w:line="240" w:lineRule="auto"/>
              <w:contextualSpacing/>
              <w:rPr>
                <w:rFonts w:cstheme="minorHAnsi"/>
                <w:b/>
                <w:sz w:val="20"/>
                <w:szCs w:val="20"/>
              </w:rPr>
            </w:pPr>
          </w:p>
        </w:tc>
        <w:tc>
          <w:tcPr>
            <w:tcW w:w="6066" w:type="dxa"/>
            <w:tcBorders>
              <w:top w:val="single" w:sz="2" w:space="0" w:color="000000"/>
              <w:bottom w:val="single" w:sz="2" w:space="0" w:color="000000"/>
            </w:tcBorders>
          </w:tcPr>
          <w:p w14:paraId="0CEC66B1"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t xml:space="preserve">Cholesterol Treatment </w:t>
            </w:r>
            <w:proofErr w:type="spellStart"/>
            <w:r w:rsidRPr="008D6368">
              <w:rPr>
                <w:rFonts w:cstheme="minorHAnsi"/>
                <w:sz w:val="20"/>
                <w:szCs w:val="20"/>
              </w:rPr>
              <w:t>Trialists</w:t>
            </w:r>
            <w:proofErr w:type="spellEnd"/>
            <w:r w:rsidRPr="008D6368">
              <w:rPr>
                <w:rFonts w:cstheme="minorHAnsi"/>
                <w:sz w:val="20"/>
                <w:szCs w:val="20"/>
              </w:rPr>
              <w:t xml:space="preserve"> </w:t>
            </w:r>
            <w:hyperlink r:id="rId33" w:history="1">
              <w:r w:rsidRPr="008D6368">
                <w:rPr>
                  <w:rStyle w:val="Hyperlink"/>
                  <w:rFonts w:cstheme="minorHAnsi"/>
                  <w:sz w:val="20"/>
                  <w:szCs w:val="20"/>
                </w:rPr>
                <w:t>Efficacy and safety of more intensive lowering of LDL cholesterol: a meta-analysis of data from 170,000 participants in 26 randomized trials.</w:t>
              </w:r>
            </w:hyperlink>
            <w:r w:rsidRPr="008D6368">
              <w:rPr>
                <w:rFonts w:cstheme="minorHAnsi"/>
                <w:sz w:val="20"/>
                <w:szCs w:val="20"/>
              </w:rPr>
              <w:t xml:space="preserve"> Lancet 2010;376:1670-81</w:t>
            </w:r>
          </w:p>
          <w:p w14:paraId="642C5A6F" w14:textId="77777777" w:rsidR="008D6368" w:rsidRPr="008D6368" w:rsidRDefault="008D6368" w:rsidP="008D6368">
            <w:pPr>
              <w:spacing w:line="240" w:lineRule="auto"/>
              <w:contextualSpacing/>
              <w:rPr>
                <w:rFonts w:cstheme="minorHAnsi"/>
                <w:sz w:val="20"/>
                <w:szCs w:val="20"/>
              </w:rPr>
            </w:pPr>
          </w:p>
          <w:p w14:paraId="44328DD2" w14:textId="28AAC8D9" w:rsidR="004F68DA" w:rsidRPr="008D6368" w:rsidRDefault="00893C1E" w:rsidP="008D6368">
            <w:pPr>
              <w:spacing w:line="240" w:lineRule="auto"/>
              <w:contextualSpacing/>
              <w:rPr>
                <w:rFonts w:cstheme="minorHAnsi"/>
                <w:b/>
                <w:sz w:val="20"/>
                <w:szCs w:val="20"/>
              </w:rPr>
            </w:pPr>
            <w:hyperlink r:id="rId34" w:history="1">
              <w:r w:rsidR="008D6368" w:rsidRPr="008D6368">
                <w:rPr>
                  <w:rStyle w:val="Hyperlink"/>
                  <w:rFonts w:cstheme="minorHAnsi"/>
                  <w:sz w:val="20"/>
                  <w:szCs w:val="20"/>
                </w:rPr>
                <w:t>Breast cancer and hormonal contraceptives: collaborative reanalysis of individual data on 53,297 women with breast cancer and 100,238 women without breast cancer from 54 epidemiological studies</w:t>
              </w:r>
            </w:hyperlink>
            <w:r w:rsidR="008D6368" w:rsidRPr="008D6368">
              <w:rPr>
                <w:rFonts w:cstheme="minorHAnsi"/>
                <w:sz w:val="20"/>
                <w:szCs w:val="20"/>
              </w:rPr>
              <w:t>. Lancet 1996;347:1713-27</w:t>
            </w:r>
          </w:p>
        </w:tc>
      </w:tr>
      <w:tr w:rsidR="004F68DA" w:rsidRPr="008D6368" w14:paraId="7AAF5E59" w14:textId="62779099" w:rsidTr="00557CE3">
        <w:trPr>
          <w:trHeight w:val="432"/>
        </w:trPr>
        <w:tc>
          <w:tcPr>
            <w:tcW w:w="741" w:type="dxa"/>
            <w:tcBorders>
              <w:top w:val="single" w:sz="2" w:space="0" w:color="000000"/>
              <w:bottom w:val="single" w:sz="2" w:space="0" w:color="000000"/>
            </w:tcBorders>
          </w:tcPr>
          <w:p w14:paraId="122E8B7E" w14:textId="77777777" w:rsidR="004F68DA" w:rsidRPr="008D6368" w:rsidRDefault="004F68DA" w:rsidP="00557CE3">
            <w:pPr>
              <w:spacing w:after="0" w:line="240" w:lineRule="auto"/>
              <w:contextualSpacing/>
              <w:rPr>
                <w:rFonts w:cstheme="minorHAnsi"/>
                <w:b/>
                <w:sz w:val="20"/>
                <w:szCs w:val="20"/>
              </w:rPr>
            </w:pPr>
            <w:r w:rsidRPr="008D6368">
              <w:rPr>
                <w:rFonts w:cstheme="minorHAnsi"/>
                <w:b/>
                <w:sz w:val="20"/>
                <w:szCs w:val="20"/>
              </w:rPr>
              <w:t>Class 13</w:t>
            </w:r>
          </w:p>
        </w:tc>
        <w:tc>
          <w:tcPr>
            <w:tcW w:w="785" w:type="dxa"/>
            <w:tcBorders>
              <w:top w:val="single" w:sz="2" w:space="0" w:color="000000"/>
              <w:bottom w:val="single" w:sz="2" w:space="0" w:color="000000"/>
            </w:tcBorders>
          </w:tcPr>
          <w:p w14:paraId="1EAA27BC" w14:textId="3E570715" w:rsidR="004F68DA" w:rsidRPr="008D6368" w:rsidRDefault="00E87BDF" w:rsidP="00557CE3">
            <w:pPr>
              <w:pStyle w:val="NoSpacing"/>
              <w:contextualSpacing/>
              <w:rPr>
                <w:rFonts w:cstheme="minorHAnsi"/>
                <w:sz w:val="20"/>
                <w:szCs w:val="20"/>
              </w:rPr>
            </w:pPr>
            <w:r w:rsidRPr="008D6368">
              <w:rPr>
                <w:rFonts w:cstheme="minorHAnsi"/>
                <w:sz w:val="20"/>
                <w:szCs w:val="20"/>
              </w:rPr>
              <w:t>April 10</w:t>
            </w:r>
          </w:p>
          <w:p w14:paraId="00C30B4D" w14:textId="77777777" w:rsidR="004F68DA" w:rsidRPr="008D6368" w:rsidRDefault="004F68DA" w:rsidP="00557CE3">
            <w:pPr>
              <w:pStyle w:val="NoSpacing"/>
              <w:contextualSpacing/>
              <w:rPr>
                <w:rFonts w:cstheme="minorHAnsi"/>
                <w:sz w:val="20"/>
                <w:szCs w:val="20"/>
              </w:rPr>
            </w:pPr>
          </w:p>
        </w:tc>
        <w:tc>
          <w:tcPr>
            <w:tcW w:w="1559" w:type="dxa"/>
            <w:tcBorders>
              <w:top w:val="single" w:sz="2" w:space="0" w:color="000000"/>
              <w:bottom w:val="single" w:sz="2" w:space="0" w:color="000000"/>
            </w:tcBorders>
          </w:tcPr>
          <w:p w14:paraId="02AEC4E1" w14:textId="77777777" w:rsidR="004F68DA" w:rsidRPr="008D6368" w:rsidRDefault="00773007" w:rsidP="00557CE3">
            <w:pPr>
              <w:pStyle w:val="NoSpacing"/>
              <w:contextualSpacing/>
              <w:rPr>
                <w:rFonts w:cstheme="minorHAnsi"/>
                <w:sz w:val="20"/>
                <w:szCs w:val="20"/>
              </w:rPr>
            </w:pPr>
            <w:r w:rsidRPr="008D6368">
              <w:rPr>
                <w:rFonts w:cstheme="minorHAnsi"/>
                <w:sz w:val="20"/>
                <w:szCs w:val="20"/>
              </w:rPr>
              <w:t>Drug safety and adverse events</w:t>
            </w:r>
          </w:p>
          <w:p w14:paraId="59931592" w14:textId="7AEC11C2" w:rsidR="00773007" w:rsidRPr="008D6368" w:rsidRDefault="00773007" w:rsidP="00557CE3">
            <w:pPr>
              <w:pStyle w:val="NoSpacing"/>
              <w:contextualSpacing/>
              <w:rPr>
                <w:rFonts w:cstheme="minorHAnsi"/>
                <w:sz w:val="20"/>
                <w:szCs w:val="20"/>
              </w:rPr>
            </w:pPr>
            <w:r w:rsidRPr="008D6368">
              <w:rPr>
                <w:rFonts w:cstheme="minorHAnsi"/>
                <w:sz w:val="20"/>
                <w:szCs w:val="20"/>
              </w:rPr>
              <w:t>Network analysis</w:t>
            </w:r>
          </w:p>
        </w:tc>
        <w:tc>
          <w:tcPr>
            <w:tcW w:w="785" w:type="dxa"/>
            <w:tcBorders>
              <w:top w:val="single" w:sz="2" w:space="0" w:color="000000"/>
              <w:bottom w:val="single" w:sz="2" w:space="0" w:color="000000"/>
            </w:tcBorders>
          </w:tcPr>
          <w:p w14:paraId="4EDC26B1" w14:textId="77777777" w:rsidR="004F68DA" w:rsidRPr="008D6368" w:rsidRDefault="004F68DA" w:rsidP="008D6368">
            <w:pPr>
              <w:pStyle w:val="NoSpacing"/>
              <w:contextualSpacing/>
              <w:rPr>
                <w:rFonts w:cstheme="minorHAnsi"/>
                <w:b/>
                <w:sz w:val="20"/>
                <w:szCs w:val="20"/>
              </w:rPr>
            </w:pPr>
          </w:p>
        </w:tc>
        <w:tc>
          <w:tcPr>
            <w:tcW w:w="6066" w:type="dxa"/>
            <w:tcBorders>
              <w:top w:val="single" w:sz="2" w:space="0" w:color="000000"/>
              <w:bottom w:val="single" w:sz="2" w:space="0" w:color="000000"/>
            </w:tcBorders>
          </w:tcPr>
          <w:p w14:paraId="0EC0147D" w14:textId="77777777" w:rsidR="008D6368" w:rsidRPr="008D6368" w:rsidRDefault="008D6368" w:rsidP="008D6368">
            <w:pPr>
              <w:spacing w:line="240" w:lineRule="auto"/>
              <w:contextualSpacing/>
              <w:rPr>
                <w:rFonts w:cstheme="minorHAnsi"/>
                <w:sz w:val="20"/>
                <w:szCs w:val="20"/>
              </w:rPr>
            </w:pPr>
            <w:proofErr w:type="spellStart"/>
            <w:r w:rsidRPr="008D6368">
              <w:rPr>
                <w:rFonts w:cstheme="minorHAnsi"/>
                <w:sz w:val="20"/>
                <w:szCs w:val="20"/>
              </w:rPr>
              <w:t>Jüni</w:t>
            </w:r>
            <w:proofErr w:type="spellEnd"/>
            <w:r w:rsidRPr="008D6368">
              <w:rPr>
                <w:rFonts w:cstheme="minorHAnsi"/>
                <w:sz w:val="20"/>
                <w:szCs w:val="20"/>
              </w:rPr>
              <w:t xml:space="preserve"> P, </w:t>
            </w:r>
            <w:proofErr w:type="spellStart"/>
            <w:r w:rsidRPr="008D6368">
              <w:rPr>
                <w:rFonts w:cstheme="minorHAnsi"/>
                <w:sz w:val="20"/>
                <w:szCs w:val="20"/>
              </w:rPr>
              <w:t>Nartey</w:t>
            </w:r>
            <w:proofErr w:type="spellEnd"/>
            <w:r w:rsidRPr="008D6368">
              <w:rPr>
                <w:rFonts w:cstheme="minorHAnsi"/>
                <w:sz w:val="20"/>
                <w:szCs w:val="20"/>
              </w:rPr>
              <w:t xml:space="preserve"> L, </w:t>
            </w:r>
            <w:proofErr w:type="spellStart"/>
            <w:r w:rsidRPr="008D6368">
              <w:rPr>
                <w:rFonts w:cstheme="minorHAnsi"/>
                <w:sz w:val="20"/>
                <w:szCs w:val="20"/>
              </w:rPr>
              <w:t>Reichenbach</w:t>
            </w:r>
            <w:proofErr w:type="spellEnd"/>
            <w:r w:rsidRPr="008D6368">
              <w:rPr>
                <w:rFonts w:cstheme="minorHAnsi"/>
                <w:sz w:val="20"/>
                <w:szCs w:val="20"/>
              </w:rPr>
              <w:t xml:space="preserve"> S, </w:t>
            </w:r>
            <w:proofErr w:type="spellStart"/>
            <w:r w:rsidRPr="008D6368">
              <w:rPr>
                <w:rFonts w:cstheme="minorHAnsi"/>
                <w:sz w:val="20"/>
                <w:szCs w:val="20"/>
              </w:rPr>
              <w:t>Sterchi</w:t>
            </w:r>
            <w:proofErr w:type="spellEnd"/>
            <w:r w:rsidRPr="008D6368">
              <w:rPr>
                <w:rFonts w:cstheme="minorHAnsi"/>
                <w:sz w:val="20"/>
                <w:szCs w:val="20"/>
              </w:rPr>
              <w:t xml:space="preserve"> R, Dieppe PA, Egger M. </w:t>
            </w:r>
            <w:hyperlink r:id="rId35" w:history="1">
              <w:r w:rsidRPr="008D6368">
                <w:rPr>
                  <w:rStyle w:val="Hyperlink"/>
                  <w:rFonts w:cstheme="minorHAnsi"/>
                  <w:sz w:val="20"/>
                  <w:szCs w:val="20"/>
                </w:rPr>
                <w:t xml:space="preserve">Risk of cardiovascular events and </w:t>
              </w:r>
              <w:proofErr w:type="spellStart"/>
              <w:r w:rsidRPr="008D6368">
                <w:rPr>
                  <w:rStyle w:val="Hyperlink"/>
                  <w:rFonts w:cstheme="minorHAnsi"/>
                  <w:sz w:val="20"/>
                  <w:szCs w:val="20"/>
                </w:rPr>
                <w:t>rofecoxib</w:t>
              </w:r>
              <w:proofErr w:type="spellEnd"/>
              <w:r w:rsidRPr="008D6368">
                <w:rPr>
                  <w:rStyle w:val="Hyperlink"/>
                  <w:rFonts w:cstheme="minorHAnsi"/>
                  <w:sz w:val="20"/>
                  <w:szCs w:val="20"/>
                </w:rPr>
                <w:t>: Cumulative meta-analysis</w:t>
              </w:r>
            </w:hyperlink>
            <w:r w:rsidRPr="008D6368">
              <w:rPr>
                <w:rFonts w:cstheme="minorHAnsi"/>
                <w:sz w:val="20"/>
                <w:szCs w:val="20"/>
              </w:rPr>
              <w:t xml:space="preserve">, </w:t>
            </w:r>
            <w:r w:rsidRPr="008D6368">
              <w:rPr>
                <w:rFonts w:cstheme="minorHAnsi"/>
                <w:i/>
                <w:iCs/>
                <w:sz w:val="20"/>
                <w:szCs w:val="20"/>
              </w:rPr>
              <w:t>Lancet</w:t>
            </w:r>
            <w:r w:rsidRPr="008D6368">
              <w:rPr>
                <w:rFonts w:cstheme="minorHAnsi"/>
                <w:sz w:val="20"/>
                <w:szCs w:val="20"/>
              </w:rPr>
              <w:t xml:space="preserve"> 2004;364:2022-29</w:t>
            </w:r>
          </w:p>
          <w:p w14:paraId="79DEB67B" w14:textId="77777777" w:rsidR="008D6368" w:rsidRPr="008D6368" w:rsidRDefault="008D6368" w:rsidP="008D6368">
            <w:pPr>
              <w:spacing w:line="240" w:lineRule="auto"/>
              <w:contextualSpacing/>
              <w:rPr>
                <w:rFonts w:cstheme="minorHAnsi"/>
                <w:sz w:val="20"/>
                <w:szCs w:val="20"/>
              </w:rPr>
            </w:pPr>
          </w:p>
          <w:p w14:paraId="700B79ED" w14:textId="77777777" w:rsidR="008D6368" w:rsidRPr="008D6368" w:rsidRDefault="008D6368" w:rsidP="008D6368">
            <w:pPr>
              <w:spacing w:line="240" w:lineRule="auto"/>
              <w:contextualSpacing/>
              <w:rPr>
                <w:rFonts w:cstheme="minorHAnsi"/>
                <w:sz w:val="20"/>
                <w:szCs w:val="20"/>
              </w:rPr>
            </w:pPr>
            <w:proofErr w:type="spellStart"/>
            <w:r w:rsidRPr="008D6368">
              <w:rPr>
                <w:rFonts w:cstheme="minorHAnsi"/>
                <w:sz w:val="20"/>
                <w:szCs w:val="20"/>
              </w:rPr>
              <w:t>Loke</w:t>
            </w:r>
            <w:proofErr w:type="spellEnd"/>
            <w:r w:rsidRPr="008D6368">
              <w:rPr>
                <w:rFonts w:cstheme="minorHAnsi"/>
                <w:sz w:val="20"/>
                <w:szCs w:val="20"/>
              </w:rPr>
              <w:t xml:space="preserve"> YK, et al Systematic reviews of adverse effects: Framework for a structured approach. BMC Medical Research Methodology 2007</w:t>
            </w:r>
          </w:p>
          <w:p w14:paraId="03517303" w14:textId="77777777" w:rsidR="008D6368" w:rsidRPr="008D6368" w:rsidRDefault="008D6368" w:rsidP="008D6368">
            <w:pPr>
              <w:spacing w:line="240" w:lineRule="auto"/>
              <w:contextualSpacing/>
              <w:rPr>
                <w:rFonts w:cstheme="minorHAnsi"/>
                <w:sz w:val="20"/>
                <w:szCs w:val="20"/>
              </w:rPr>
            </w:pPr>
          </w:p>
          <w:p w14:paraId="66B5DB95" w14:textId="77777777" w:rsidR="008D6368" w:rsidRPr="008D6368" w:rsidRDefault="008D6368" w:rsidP="008D6368">
            <w:pPr>
              <w:spacing w:line="240" w:lineRule="auto"/>
              <w:contextualSpacing/>
              <w:rPr>
                <w:rFonts w:cstheme="minorHAnsi"/>
                <w:sz w:val="20"/>
                <w:szCs w:val="20"/>
              </w:rPr>
            </w:pPr>
            <w:proofErr w:type="spellStart"/>
            <w:r w:rsidRPr="008D6368">
              <w:rPr>
                <w:rFonts w:cstheme="minorHAnsi"/>
                <w:sz w:val="20"/>
                <w:szCs w:val="20"/>
              </w:rPr>
              <w:t>Golder</w:t>
            </w:r>
            <w:proofErr w:type="spellEnd"/>
            <w:r w:rsidRPr="008D6368">
              <w:rPr>
                <w:rFonts w:cstheme="minorHAnsi"/>
                <w:sz w:val="20"/>
                <w:szCs w:val="20"/>
              </w:rPr>
              <w:t xml:space="preserve"> S, </w:t>
            </w:r>
            <w:proofErr w:type="spellStart"/>
            <w:r w:rsidRPr="008D6368">
              <w:rPr>
                <w:rFonts w:cstheme="minorHAnsi"/>
                <w:sz w:val="20"/>
                <w:szCs w:val="20"/>
              </w:rPr>
              <w:t>Loke</w:t>
            </w:r>
            <w:proofErr w:type="spellEnd"/>
            <w:r w:rsidRPr="008D6368">
              <w:rPr>
                <w:rFonts w:cstheme="minorHAnsi"/>
                <w:sz w:val="20"/>
                <w:szCs w:val="20"/>
              </w:rPr>
              <w:t xml:space="preserve"> YK, Bland M. Meta-analysis of adverse effects data derived from </w:t>
            </w:r>
            <w:proofErr w:type="spellStart"/>
            <w:r w:rsidRPr="008D6368">
              <w:rPr>
                <w:rFonts w:cstheme="minorHAnsi"/>
                <w:sz w:val="20"/>
                <w:szCs w:val="20"/>
              </w:rPr>
              <w:t>Randomised</w:t>
            </w:r>
            <w:proofErr w:type="spellEnd"/>
            <w:r w:rsidRPr="008D6368">
              <w:rPr>
                <w:rFonts w:cstheme="minorHAnsi"/>
                <w:sz w:val="20"/>
                <w:szCs w:val="20"/>
              </w:rPr>
              <w:t xml:space="preserve"> controlled trials as compared to observational studies: Methodologic overview. PLOS medicine 2011; 8 e1001026</w:t>
            </w:r>
          </w:p>
          <w:p w14:paraId="69B5C463" w14:textId="77777777" w:rsidR="008D6368" w:rsidRPr="008D6368" w:rsidRDefault="008D6368" w:rsidP="008D6368">
            <w:pPr>
              <w:spacing w:line="240" w:lineRule="auto"/>
              <w:contextualSpacing/>
              <w:rPr>
                <w:rFonts w:cstheme="minorHAnsi"/>
                <w:sz w:val="20"/>
                <w:szCs w:val="20"/>
              </w:rPr>
            </w:pPr>
          </w:p>
          <w:p w14:paraId="7D3BF1F6"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t xml:space="preserve">Chou R, Aronson N, et al AHRQ Series paper 4: Assessing harms when comparing medical interventions: AHRQ and the effective health-care program. J Clinical Epidemiology 2010 </w:t>
            </w:r>
          </w:p>
          <w:p w14:paraId="7FBE6F10" w14:textId="77777777" w:rsidR="008D6368" w:rsidRPr="008D6368" w:rsidRDefault="008D6368" w:rsidP="008D6368">
            <w:pPr>
              <w:spacing w:line="240" w:lineRule="auto"/>
              <w:contextualSpacing/>
              <w:rPr>
                <w:rFonts w:cstheme="minorHAnsi"/>
                <w:sz w:val="20"/>
                <w:szCs w:val="20"/>
              </w:rPr>
            </w:pPr>
          </w:p>
          <w:p w14:paraId="47B7AD07"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t xml:space="preserve">Berlin JA, Colditz GA. </w:t>
            </w:r>
            <w:hyperlink r:id="rId36" w:history="1">
              <w:r w:rsidRPr="008D6368">
                <w:rPr>
                  <w:rStyle w:val="Hyperlink"/>
                  <w:rFonts w:cstheme="minorHAnsi"/>
                  <w:sz w:val="20"/>
                  <w:szCs w:val="20"/>
                </w:rPr>
                <w:t xml:space="preserve">The Role of Meta-Analysis in the Regulatory Process for Foods, Drugs, </w:t>
              </w:r>
              <w:proofErr w:type="gramStart"/>
              <w:r w:rsidRPr="008D6368">
                <w:rPr>
                  <w:rStyle w:val="Hyperlink"/>
                  <w:rFonts w:cstheme="minorHAnsi"/>
                  <w:sz w:val="20"/>
                  <w:szCs w:val="20"/>
                </w:rPr>
                <w:t>an</w:t>
              </w:r>
              <w:proofErr w:type="gramEnd"/>
              <w:r w:rsidRPr="008D6368">
                <w:rPr>
                  <w:rStyle w:val="Hyperlink"/>
                  <w:rFonts w:cstheme="minorHAnsi"/>
                  <w:sz w:val="20"/>
                  <w:szCs w:val="20"/>
                </w:rPr>
                <w:t xml:space="preserve"> Devices</w:t>
              </w:r>
            </w:hyperlink>
            <w:r w:rsidRPr="008D6368">
              <w:rPr>
                <w:rFonts w:cstheme="minorHAnsi"/>
                <w:sz w:val="20"/>
                <w:szCs w:val="20"/>
              </w:rPr>
              <w:t xml:space="preserve">  JAMA 1999; 281(9)830-934.</w:t>
            </w:r>
          </w:p>
          <w:p w14:paraId="6C75B4E4" w14:textId="77777777" w:rsidR="008D6368" w:rsidRPr="008D6368" w:rsidRDefault="008D6368" w:rsidP="008D6368">
            <w:pPr>
              <w:spacing w:line="240" w:lineRule="auto"/>
              <w:contextualSpacing/>
              <w:rPr>
                <w:rFonts w:cstheme="minorHAnsi"/>
                <w:i/>
                <w:sz w:val="20"/>
                <w:szCs w:val="20"/>
              </w:rPr>
            </w:pPr>
          </w:p>
          <w:p w14:paraId="7AA97660" w14:textId="77777777" w:rsidR="008D6368" w:rsidRPr="008D6368" w:rsidRDefault="008D6368" w:rsidP="008D6368">
            <w:pPr>
              <w:spacing w:line="240" w:lineRule="auto"/>
              <w:contextualSpacing/>
              <w:rPr>
                <w:rFonts w:cstheme="minorHAnsi"/>
                <w:sz w:val="20"/>
                <w:szCs w:val="20"/>
              </w:rPr>
            </w:pPr>
            <w:r w:rsidRPr="008D6368">
              <w:rPr>
                <w:rFonts w:cstheme="minorHAnsi"/>
                <w:i/>
                <w:sz w:val="20"/>
                <w:szCs w:val="20"/>
              </w:rPr>
              <w:t>Additional reading:</w:t>
            </w:r>
            <w:r w:rsidRPr="008D6368">
              <w:rPr>
                <w:rFonts w:cstheme="minorHAnsi"/>
                <w:sz w:val="20"/>
                <w:szCs w:val="20"/>
              </w:rPr>
              <w:t xml:space="preserve"> </w:t>
            </w:r>
          </w:p>
          <w:p w14:paraId="1FF31939" w14:textId="3AE80672" w:rsidR="004F68DA" w:rsidRPr="008D6368" w:rsidRDefault="008D6368" w:rsidP="008D6368">
            <w:pPr>
              <w:spacing w:line="240" w:lineRule="auto"/>
              <w:contextualSpacing/>
              <w:rPr>
                <w:rFonts w:cstheme="minorHAnsi"/>
                <w:b/>
                <w:sz w:val="20"/>
                <w:szCs w:val="20"/>
              </w:rPr>
            </w:pPr>
            <w:proofErr w:type="spellStart"/>
            <w:r w:rsidRPr="008D6368">
              <w:rPr>
                <w:rFonts w:cstheme="minorHAnsi"/>
                <w:sz w:val="20"/>
                <w:szCs w:val="20"/>
              </w:rPr>
              <w:t>Stoto</w:t>
            </w:r>
            <w:proofErr w:type="spellEnd"/>
            <w:r w:rsidRPr="008D6368">
              <w:rPr>
                <w:rFonts w:cstheme="minorHAnsi"/>
                <w:sz w:val="20"/>
                <w:szCs w:val="20"/>
              </w:rPr>
              <w:t xml:space="preserve"> MA, Research synthesis for public health policy: Experience of the Institute of Medicine, in </w:t>
            </w:r>
            <w:r w:rsidRPr="008D6368">
              <w:rPr>
                <w:rFonts w:cstheme="minorHAnsi"/>
                <w:i/>
                <w:iCs/>
                <w:sz w:val="20"/>
                <w:szCs w:val="20"/>
              </w:rPr>
              <w:t>Meta-Analysis in Medicine and Health Policy</w:t>
            </w:r>
            <w:r w:rsidRPr="008D6368">
              <w:rPr>
                <w:rFonts w:cstheme="minorHAnsi"/>
                <w:sz w:val="20"/>
                <w:szCs w:val="20"/>
              </w:rPr>
              <w:t xml:space="preserve">, </w:t>
            </w:r>
            <w:proofErr w:type="spellStart"/>
            <w:r w:rsidRPr="008D6368">
              <w:rPr>
                <w:rFonts w:cstheme="minorHAnsi"/>
                <w:sz w:val="20"/>
                <w:szCs w:val="20"/>
              </w:rPr>
              <w:t>Stangl</w:t>
            </w:r>
            <w:proofErr w:type="spellEnd"/>
            <w:r w:rsidRPr="008D6368">
              <w:rPr>
                <w:rFonts w:cstheme="minorHAnsi"/>
                <w:sz w:val="20"/>
                <w:szCs w:val="20"/>
              </w:rPr>
              <w:t xml:space="preserve"> D and Berry D., eds., New York: Marcel Dekker, 2000, pp 321-357.  </w:t>
            </w:r>
          </w:p>
        </w:tc>
      </w:tr>
      <w:tr w:rsidR="004F68DA" w:rsidRPr="008D6368" w14:paraId="68D905F8" w14:textId="4C1B58CD" w:rsidTr="00557CE3">
        <w:trPr>
          <w:trHeight w:val="432"/>
        </w:trPr>
        <w:tc>
          <w:tcPr>
            <w:tcW w:w="741" w:type="dxa"/>
            <w:tcBorders>
              <w:top w:val="single" w:sz="2" w:space="0" w:color="000000"/>
              <w:bottom w:val="single" w:sz="2" w:space="0" w:color="000000"/>
            </w:tcBorders>
          </w:tcPr>
          <w:p w14:paraId="34C37425" w14:textId="77777777" w:rsidR="004F68DA" w:rsidRPr="008D6368" w:rsidRDefault="004F68DA" w:rsidP="00557CE3">
            <w:pPr>
              <w:spacing w:after="0" w:line="240" w:lineRule="auto"/>
              <w:contextualSpacing/>
              <w:rPr>
                <w:rFonts w:cstheme="minorHAnsi"/>
                <w:b/>
                <w:sz w:val="20"/>
                <w:szCs w:val="20"/>
              </w:rPr>
            </w:pPr>
            <w:r w:rsidRPr="008D6368">
              <w:rPr>
                <w:rFonts w:cstheme="minorHAnsi"/>
                <w:b/>
                <w:sz w:val="20"/>
                <w:szCs w:val="20"/>
              </w:rPr>
              <w:t>Class 14</w:t>
            </w:r>
          </w:p>
        </w:tc>
        <w:tc>
          <w:tcPr>
            <w:tcW w:w="785" w:type="dxa"/>
            <w:tcBorders>
              <w:top w:val="single" w:sz="2" w:space="0" w:color="000000"/>
              <w:bottom w:val="single" w:sz="2" w:space="0" w:color="000000"/>
            </w:tcBorders>
          </w:tcPr>
          <w:p w14:paraId="6EAE058E" w14:textId="0085B459" w:rsidR="004F68DA" w:rsidRPr="008D6368" w:rsidRDefault="00E87BDF" w:rsidP="00557CE3">
            <w:pPr>
              <w:spacing w:after="0" w:line="240" w:lineRule="auto"/>
              <w:contextualSpacing/>
              <w:rPr>
                <w:rFonts w:cstheme="minorHAnsi"/>
                <w:sz w:val="20"/>
                <w:szCs w:val="20"/>
              </w:rPr>
            </w:pPr>
            <w:r w:rsidRPr="008D6368">
              <w:rPr>
                <w:rFonts w:cstheme="minorHAnsi"/>
                <w:sz w:val="20"/>
                <w:szCs w:val="20"/>
              </w:rPr>
              <w:t>April 17</w:t>
            </w:r>
          </w:p>
          <w:p w14:paraId="25180575" w14:textId="77777777" w:rsidR="004F68DA" w:rsidRPr="008D6368" w:rsidRDefault="004F68DA" w:rsidP="00557CE3">
            <w:pPr>
              <w:spacing w:after="0" w:line="240" w:lineRule="auto"/>
              <w:contextualSpacing/>
              <w:rPr>
                <w:rFonts w:cstheme="minorHAnsi"/>
                <w:sz w:val="20"/>
                <w:szCs w:val="20"/>
              </w:rPr>
            </w:pPr>
          </w:p>
        </w:tc>
        <w:tc>
          <w:tcPr>
            <w:tcW w:w="1559" w:type="dxa"/>
            <w:tcBorders>
              <w:top w:val="single" w:sz="2" w:space="0" w:color="000000"/>
              <w:bottom w:val="single" w:sz="2" w:space="0" w:color="000000"/>
            </w:tcBorders>
          </w:tcPr>
          <w:p w14:paraId="64DF1D1F" w14:textId="06D8F0E9" w:rsidR="004F68DA" w:rsidRPr="008D6368" w:rsidRDefault="00773007" w:rsidP="00557CE3">
            <w:pPr>
              <w:pStyle w:val="NoSpacing"/>
              <w:contextualSpacing/>
              <w:rPr>
                <w:rFonts w:cstheme="minorHAnsi"/>
                <w:sz w:val="20"/>
                <w:szCs w:val="20"/>
              </w:rPr>
            </w:pPr>
            <w:r w:rsidRPr="008D6368">
              <w:rPr>
                <w:rFonts w:cstheme="minorHAnsi"/>
                <w:sz w:val="20"/>
                <w:szCs w:val="20"/>
              </w:rPr>
              <w:t>Combining diagnostic test results</w:t>
            </w:r>
          </w:p>
          <w:p w14:paraId="4B9ECDE5" w14:textId="3926CC42" w:rsidR="00773007" w:rsidRPr="008D6368" w:rsidRDefault="00773007" w:rsidP="00557CE3">
            <w:pPr>
              <w:pStyle w:val="NoSpacing"/>
              <w:contextualSpacing/>
              <w:rPr>
                <w:rFonts w:cstheme="minorHAnsi"/>
                <w:sz w:val="20"/>
                <w:szCs w:val="20"/>
              </w:rPr>
            </w:pPr>
            <w:r w:rsidRPr="008D6368">
              <w:rPr>
                <w:rFonts w:cstheme="minorHAnsi"/>
                <w:sz w:val="20"/>
                <w:szCs w:val="20"/>
              </w:rPr>
              <w:t>Applying results to policy and practice</w:t>
            </w:r>
          </w:p>
          <w:p w14:paraId="75C02F07" w14:textId="77777777" w:rsidR="004F68DA" w:rsidRPr="008D6368" w:rsidRDefault="004F68DA" w:rsidP="00557CE3">
            <w:pPr>
              <w:pStyle w:val="NoSpacing"/>
              <w:contextualSpacing/>
              <w:rPr>
                <w:rFonts w:cstheme="minorHAnsi"/>
                <w:sz w:val="20"/>
                <w:szCs w:val="20"/>
              </w:rPr>
            </w:pPr>
          </w:p>
        </w:tc>
        <w:tc>
          <w:tcPr>
            <w:tcW w:w="785" w:type="dxa"/>
            <w:tcBorders>
              <w:top w:val="single" w:sz="2" w:space="0" w:color="000000"/>
              <w:bottom w:val="single" w:sz="2" w:space="0" w:color="000000"/>
            </w:tcBorders>
          </w:tcPr>
          <w:p w14:paraId="1E820180" w14:textId="77777777" w:rsidR="004F68DA" w:rsidRPr="008D6368" w:rsidRDefault="004F68DA" w:rsidP="008D6368">
            <w:pPr>
              <w:pStyle w:val="NoSpacing"/>
              <w:contextualSpacing/>
              <w:rPr>
                <w:rFonts w:cstheme="minorHAnsi"/>
                <w:sz w:val="20"/>
                <w:szCs w:val="20"/>
              </w:rPr>
            </w:pPr>
          </w:p>
        </w:tc>
        <w:tc>
          <w:tcPr>
            <w:tcW w:w="6066" w:type="dxa"/>
            <w:tcBorders>
              <w:top w:val="single" w:sz="2" w:space="0" w:color="000000"/>
              <w:bottom w:val="single" w:sz="2" w:space="0" w:color="000000"/>
            </w:tcBorders>
          </w:tcPr>
          <w:p w14:paraId="58933D4A" w14:textId="77777777" w:rsidR="008D6368" w:rsidRPr="008D6368" w:rsidRDefault="008D6368" w:rsidP="008D6368">
            <w:pPr>
              <w:spacing w:line="240" w:lineRule="auto"/>
              <w:contextualSpacing/>
              <w:rPr>
                <w:rFonts w:cstheme="minorHAnsi"/>
                <w:b/>
                <w:sz w:val="20"/>
                <w:szCs w:val="20"/>
              </w:rPr>
            </w:pPr>
            <w:r w:rsidRPr="008D6368">
              <w:rPr>
                <w:rFonts w:cstheme="minorHAnsi"/>
                <w:b/>
                <w:sz w:val="20"/>
                <w:szCs w:val="20"/>
              </w:rPr>
              <w:t>Combining Diagnostic Tests</w:t>
            </w:r>
          </w:p>
          <w:p w14:paraId="23A317B3"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t>Systematic Reviews in Health Care: Meta-analysis in Context, 2</w:t>
            </w:r>
            <w:r w:rsidRPr="008D6368">
              <w:rPr>
                <w:rFonts w:cstheme="minorHAnsi"/>
                <w:sz w:val="20"/>
                <w:szCs w:val="20"/>
                <w:vertAlign w:val="superscript"/>
              </w:rPr>
              <w:t>nd</w:t>
            </w:r>
            <w:r w:rsidRPr="008D6368">
              <w:rPr>
                <w:rFonts w:cstheme="minorHAnsi"/>
                <w:sz w:val="20"/>
                <w:szCs w:val="20"/>
              </w:rPr>
              <w:t xml:space="preserve"> Edition, </w:t>
            </w:r>
            <w:proofErr w:type="spellStart"/>
            <w:r w:rsidRPr="008D6368">
              <w:rPr>
                <w:rFonts w:cstheme="minorHAnsi"/>
                <w:sz w:val="20"/>
                <w:szCs w:val="20"/>
              </w:rPr>
              <w:t>Mattias</w:t>
            </w:r>
            <w:proofErr w:type="spellEnd"/>
            <w:r w:rsidRPr="008D6368">
              <w:rPr>
                <w:rFonts w:cstheme="minorHAnsi"/>
                <w:sz w:val="20"/>
                <w:szCs w:val="20"/>
              </w:rPr>
              <w:t xml:space="preserve"> Egger, George Davey Smith and Douglas Altman </w:t>
            </w:r>
            <w:proofErr w:type="spellStart"/>
            <w:r w:rsidRPr="008D6368">
              <w:rPr>
                <w:rFonts w:cstheme="minorHAnsi"/>
                <w:sz w:val="20"/>
                <w:szCs w:val="20"/>
              </w:rPr>
              <w:t>eds</w:t>
            </w:r>
            <w:proofErr w:type="spellEnd"/>
            <w:r w:rsidRPr="008D6368">
              <w:rPr>
                <w:rFonts w:cstheme="minorHAnsi"/>
                <w:sz w:val="20"/>
                <w:szCs w:val="20"/>
              </w:rPr>
              <w:t>, BMJ Books 201</w:t>
            </w:r>
            <w:proofErr w:type="gramStart"/>
            <w:r w:rsidRPr="008D6368">
              <w:rPr>
                <w:rFonts w:cstheme="minorHAnsi"/>
                <w:sz w:val="20"/>
                <w:szCs w:val="20"/>
              </w:rPr>
              <w:t>;chapter</w:t>
            </w:r>
            <w:proofErr w:type="gramEnd"/>
            <w:r w:rsidRPr="008D6368">
              <w:rPr>
                <w:rFonts w:cstheme="minorHAnsi"/>
                <w:sz w:val="20"/>
                <w:szCs w:val="20"/>
              </w:rPr>
              <w:t xml:space="preserve"> 14.</w:t>
            </w:r>
          </w:p>
          <w:p w14:paraId="42D1035F" w14:textId="77777777" w:rsidR="008D6368" w:rsidRPr="008D6368" w:rsidRDefault="008D6368" w:rsidP="008D6368">
            <w:pPr>
              <w:spacing w:line="240" w:lineRule="auto"/>
              <w:contextualSpacing/>
              <w:rPr>
                <w:rFonts w:cstheme="minorHAnsi"/>
                <w:sz w:val="20"/>
                <w:szCs w:val="20"/>
              </w:rPr>
            </w:pPr>
          </w:p>
          <w:p w14:paraId="677B2914"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t>Example:</w:t>
            </w:r>
          </w:p>
          <w:p w14:paraId="7AE3CEBC"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lastRenderedPageBreak/>
              <w:t xml:space="preserve">Carpenter CR, et al., </w:t>
            </w:r>
            <w:hyperlink r:id="rId37" w:history="1">
              <w:r w:rsidRPr="008D6368">
                <w:rPr>
                  <w:rStyle w:val="Hyperlink"/>
                  <w:rFonts w:cstheme="minorHAnsi"/>
                  <w:sz w:val="20"/>
                  <w:szCs w:val="20"/>
                </w:rPr>
                <w:t>Evidence –based diagnostics: Adult septic arthritis</w:t>
              </w:r>
            </w:hyperlink>
            <w:r w:rsidRPr="008D6368">
              <w:rPr>
                <w:rFonts w:cstheme="minorHAnsi"/>
                <w:sz w:val="20"/>
                <w:szCs w:val="20"/>
              </w:rPr>
              <w:t>. Academic Emergency Medicine 2011; 18:782-96</w:t>
            </w:r>
          </w:p>
          <w:p w14:paraId="107F06C6" w14:textId="77777777" w:rsidR="008D6368" w:rsidRPr="008D6368" w:rsidRDefault="008D6368" w:rsidP="008D6368">
            <w:pPr>
              <w:spacing w:line="240" w:lineRule="auto"/>
              <w:contextualSpacing/>
              <w:rPr>
                <w:rFonts w:cstheme="minorHAnsi"/>
                <w:sz w:val="20"/>
                <w:szCs w:val="20"/>
              </w:rPr>
            </w:pPr>
          </w:p>
          <w:p w14:paraId="743392CC"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t xml:space="preserve">Issues in combining independent estimates of the sensitivity and specificity of a diagnostic test.  </w:t>
            </w:r>
          </w:p>
          <w:p w14:paraId="79939723"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t xml:space="preserve">Shapiro DE.  </w:t>
            </w:r>
            <w:proofErr w:type="spellStart"/>
            <w:r w:rsidRPr="008D6368">
              <w:rPr>
                <w:rFonts w:cstheme="minorHAnsi"/>
                <w:sz w:val="20"/>
                <w:szCs w:val="20"/>
              </w:rPr>
              <w:t>Acad</w:t>
            </w:r>
            <w:proofErr w:type="spellEnd"/>
            <w:r w:rsidRPr="008D6368">
              <w:rPr>
                <w:rFonts w:cstheme="minorHAnsi"/>
                <w:sz w:val="20"/>
                <w:szCs w:val="20"/>
              </w:rPr>
              <w:t xml:space="preserve"> </w:t>
            </w:r>
            <w:proofErr w:type="spellStart"/>
            <w:r w:rsidRPr="008D6368">
              <w:rPr>
                <w:rFonts w:cstheme="minorHAnsi"/>
                <w:sz w:val="20"/>
                <w:szCs w:val="20"/>
              </w:rPr>
              <w:t>Radiol</w:t>
            </w:r>
            <w:proofErr w:type="spellEnd"/>
            <w:r w:rsidRPr="008D6368">
              <w:rPr>
                <w:rFonts w:cstheme="minorHAnsi"/>
                <w:sz w:val="20"/>
                <w:szCs w:val="20"/>
              </w:rPr>
              <w:t xml:space="preserve"> 1995</w:t>
            </w:r>
            <w:proofErr w:type="gramStart"/>
            <w:r w:rsidRPr="008D6368">
              <w:rPr>
                <w:rFonts w:cstheme="minorHAnsi"/>
                <w:sz w:val="20"/>
                <w:szCs w:val="20"/>
              </w:rPr>
              <w:t>;2:S37</w:t>
            </w:r>
            <w:proofErr w:type="gramEnd"/>
            <w:r w:rsidRPr="008D6368">
              <w:rPr>
                <w:rFonts w:cstheme="minorHAnsi"/>
                <w:sz w:val="20"/>
                <w:szCs w:val="20"/>
              </w:rPr>
              <w:t>-S47.</w:t>
            </w:r>
          </w:p>
          <w:p w14:paraId="2E1A23CF" w14:textId="77777777" w:rsidR="008D6368" w:rsidRPr="008D6368" w:rsidRDefault="008D6368" w:rsidP="008D6368">
            <w:pPr>
              <w:spacing w:line="240" w:lineRule="auto"/>
              <w:contextualSpacing/>
              <w:rPr>
                <w:rFonts w:cstheme="minorHAnsi"/>
                <w:iCs/>
                <w:sz w:val="20"/>
                <w:szCs w:val="20"/>
              </w:rPr>
            </w:pPr>
          </w:p>
          <w:p w14:paraId="3BDC8D0C"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t xml:space="preserve">Rutter CM, </w:t>
            </w:r>
            <w:proofErr w:type="spellStart"/>
            <w:r w:rsidRPr="008D6368">
              <w:rPr>
                <w:rFonts w:cstheme="minorHAnsi"/>
                <w:sz w:val="20"/>
                <w:szCs w:val="20"/>
              </w:rPr>
              <w:t>Gatsonis</w:t>
            </w:r>
            <w:proofErr w:type="spellEnd"/>
            <w:r w:rsidRPr="008D6368">
              <w:rPr>
                <w:rFonts w:cstheme="minorHAnsi"/>
                <w:sz w:val="20"/>
                <w:szCs w:val="20"/>
              </w:rPr>
              <w:t xml:space="preserve"> CA Regression methods for meta-analysis of diagnostic test data.  </w:t>
            </w:r>
          </w:p>
          <w:p w14:paraId="171BDED4" w14:textId="77777777" w:rsidR="008D6368" w:rsidRPr="008D6368" w:rsidRDefault="008D6368" w:rsidP="008D6368">
            <w:pPr>
              <w:spacing w:line="240" w:lineRule="auto"/>
              <w:contextualSpacing/>
              <w:rPr>
                <w:rFonts w:cstheme="minorHAnsi"/>
                <w:sz w:val="20"/>
                <w:szCs w:val="20"/>
              </w:rPr>
            </w:pPr>
            <w:proofErr w:type="spellStart"/>
            <w:r w:rsidRPr="008D6368">
              <w:rPr>
                <w:rFonts w:cstheme="minorHAnsi"/>
                <w:sz w:val="20"/>
                <w:szCs w:val="20"/>
              </w:rPr>
              <w:t>Acad</w:t>
            </w:r>
            <w:proofErr w:type="spellEnd"/>
            <w:r w:rsidRPr="008D6368">
              <w:rPr>
                <w:rFonts w:cstheme="minorHAnsi"/>
                <w:sz w:val="20"/>
                <w:szCs w:val="20"/>
              </w:rPr>
              <w:t xml:space="preserve"> </w:t>
            </w:r>
            <w:proofErr w:type="spellStart"/>
            <w:r w:rsidRPr="008D6368">
              <w:rPr>
                <w:rFonts w:cstheme="minorHAnsi"/>
                <w:sz w:val="20"/>
                <w:szCs w:val="20"/>
              </w:rPr>
              <w:t>Radiol</w:t>
            </w:r>
            <w:proofErr w:type="spellEnd"/>
            <w:r w:rsidRPr="008D6368">
              <w:rPr>
                <w:rFonts w:cstheme="minorHAnsi"/>
                <w:sz w:val="20"/>
                <w:szCs w:val="20"/>
              </w:rPr>
              <w:t xml:space="preserve"> 1995</w:t>
            </w:r>
            <w:proofErr w:type="gramStart"/>
            <w:r w:rsidRPr="008D6368">
              <w:rPr>
                <w:rFonts w:cstheme="minorHAnsi"/>
                <w:sz w:val="20"/>
                <w:szCs w:val="20"/>
              </w:rPr>
              <w:t>;2:S48</w:t>
            </w:r>
            <w:proofErr w:type="gramEnd"/>
            <w:r w:rsidRPr="008D6368">
              <w:rPr>
                <w:rFonts w:cstheme="minorHAnsi"/>
                <w:sz w:val="20"/>
                <w:szCs w:val="20"/>
              </w:rPr>
              <w:t xml:space="preserve">–S56.  </w:t>
            </w:r>
          </w:p>
          <w:p w14:paraId="234019D9" w14:textId="77777777" w:rsidR="008D6368" w:rsidRPr="008D6368" w:rsidRDefault="008D6368" w:rsidP="008D6368">
            <w:pPr>
              <w:spacing w:line="240" w:lineRule="auto"/>
              <w:contextualSpacing/>
              <w:rPr>
                <w:rFonts w:cstheme="minorHAnsi"/>
                <w:sz w:val="20"/>
                <w:szCs w:val="20"/>
              </w:rPr>
            </w:pPr>
          </w:p>
          <w:p w14:paraId="6D2C6176"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t xml:space="preserve">Further reading on this topic see Rutter CM, </w:t>
            </w:r>
            <w:proofErr w:type="spellStart"/>
            <w:r w:rsidRPr="008D6368">
              <w:rPr>
                <w:rFonts w:cstheme="minorHAnsi"/>
                <w:sz w:val="20"/>
                <w:szCs w:val="20"/>
              </w:rPr>
              <w:t>Gatsonis</w:t>
            </w:r>
            <w:proofErr w:type="spellEnd"/>
            <w:r w:rsidRPr="008D6368">
              <w:rPr>
                <w:rFonts w:cstheme="minorHAnsi"/>
                <w:sz w:val="20"/>
                <w:szCs w:val="20"/>
              </w:rPr>
              <w:t xml:space="preserve"> CA</w:t>
            </w:r>
          </w:p>
          <w:p w14:paraId="5AA3DE95" w14:textId="77777777" w:rsidR="008D6368" w:rsidRPr="008D6368" w:rsidRDefault="00893C1E" w:rsidP="008D6368">
            <w:pPr>
              <w:spacing w:line="240" w:lineRule="auto"/>
              <w:contextualSpacing/>
              <w:rPr>
                <w:rFonts w:cstheme="minorHAnsi"/>
                <w:iCs/>
                <w:sz w:val="20"/>
                <w:szCs w:val="20"/>
              </w:rPr>
            </w:pPr>
            <w:hyperlink r:id="rId38" w:history="1">
              <w:r w:rsidR="008D6368" w:rsidRPr="008D6368">
                <w:rPr>
                  <w:rStyle w:val="Hyperlink"/>
                  <w:rFonts w:cstheme="minorHAnsi"/>
                  <w:iCs/>
                  <w:sz w:val="20"/>
                  <w:szCs w:val="20"/>
                </w:rPr>
                <w:t>http://onlinelibrary.wiley.com/doi/10.1002/sim.942/abstract</w:t>
              </w:r>
            </w:hyperlink>
          </w:p>
          <w:p w14:paraId="77C09C8E" w14:textId="77777777" w:rsidR="008D6368" w:rsidRPr="008D6368" w:rsidRDefault="008D6368" w:rsidP="008D6368">
            <w:pPr>
              <w:pStyle w:val="BodyText"/>
              <w:contextualSpacing/>
              <w:rPr>
                <w:rFonts w:asciiTheme="minorHAnsi" w:hAnsiTheme="minorHAnsi" w:cstheme="minorHAnsi"/>
                <w:i w:val="0"/>
                <w:sz w:val="20"/>
              </w:rPr>
            </w:pPr>
            <w:proofErr w:type="spellStart"/>
            <w:r w:rsidRPr="008D6368">
              <w:rPr>
                <w:rFonts w:asciiTheme="minorHAnsi" w:hAnsiTheme="minorHAnsi" w:cstheme="minorHAnsi"/>
                <w:sz w:val="20"/>
              </w:rPr>
              <w:t>Irwig</w:t>
            </w:r>
            <w:proofErr w:type="spellEnd"/>
            <w:r w:rsidRPr="008D6368">
              <w:rPr>
                <w:rFonts w:asciiTheme="minorHAnsi" w:hAnsiTheme="minorHAnsi" w:cstheme="minorHAnsi"/>
                <w:sz w:val="20"/>
              </w:rPr>
              <w:t xml:space="preserve"> L, </w:t>
            </w:r>
            <w:proofErr w:type="spellStart"/>
            <w:r w:rsidRPr="008D6368">
              <w:rPr>
                <w:rFonts w:asciiTheme="minorHAnsi" w:hAnsiTheme="minorHAnsi" w:cstheme="minorHAnsi"/>
                <w:sz w:val="20"/>
              </w:rPr>
              <w:t>Tosteson</w:t>
            </w:r>
            <w:proofErr w:type="spellEnd"/>
            <w:r w:rsidRPr="008D6368">
              <w:rPr>
                <w:rFonts w:asciiTheme="minorHAnsi" w:hAnsiTheme="minorHAnsi" w:cstheme="minorHAnsi"/>
                <w:sz w:val="20"/>
              </w:rPr>
              <w:t xml:space="preserve"> ANA, </w:t>
            </w:r>
            <w:proofErr w:type="spellStart"/>
            <w:r w:rsidRPr="008D6368">
              <w:rPr>
                <w:rFonts w:asciiTheme="minorHAnsi" w:hAnsiTheme="minorHAnsi" w:cstheme="minorHAnsi"/>
                <w:sz w:val="20"/>
              </w:rPr>
              <w:t>Gatsonis</w:t>
            </w:r>
            <w:proofErr w:type="spellEnd"/>
            <w:r w:rsidRPr="008D6368">
              <w:rPr>
                <w:rFonts w:asciiTheme="minorHAnsi" w:hAnsiTheme="minorHAnsi" w:cstheme="minorHAnsi"/>
                <w:sz w:val="20"/>
              </w:rPr>
              <w:t xml:space="preserve"> C, Lau J, Colditz GA, Chalmers TC, </w:t>
            </w:r>
            <w:proofErr w:type="spellStart"/>
            <w:r w:rsidRPr="008D6368">
              <w:rPr>
                <w:rFonts w:asciiTheme="minorHAnsi" w:hAnsiTheme="minorHAnsi" w:cstheme="minorHAnsi"/>
                <w:sz w:val="20"/>
              </w:rPr>
              <w:t>Mosteller</w:t>
            </w:r>
            <w:proofErr w:type="spellEnd"/>
            <w:r w:rsidRPr="008D6368">
              <w:rPr>
                <w:rFonts w:asciiTheme="minorHAnsi" w:hAnsiTheme="minorHAnsi" w:cstheme="minorHAnsi"/>
                <w:sz w:val="20"/>
              </w:rPr>
              <w:t xml:space="preserve"> F. </w:t>
            </w:r>
            <w:hyperlink r:id="rId39" w:history="1">
              <w:r w:rsidRPr="008D6368">
                <w:rPr>
                  <w:rStyle w:val="Hyperlink"/>
                  <w:rFonts w:asciiTheme="minorHAnsi" w:hAnsiTheme="minorHAnsi" w:cstheme="minorHAnsi"/>
                  <w:i w:val="0"/>
                  <w:sz w:val="20"/>
                </w:rPr>
                <w:t>Guidelines for Meta-analysis Evaluating Diagnostic Tests</w:t>
              </w:r>
            </w:hyperlink>
            <w:r w:rsidRPr="008D6368">
              <w:rPr>
                <w:rFonts w:asciiTheme="minorHAnsi" w:hAnsiTheme="minorHAnsi" w:cstheme="minorHAnsi"/>
                <w:sz w:val="20"/>
              </w:rPr>
              <w:t>. Ann Intern Med 1994;120:667-676</w:t>
            </w:r>
            <w:r w:rsidRPr="008D6368">
              <w:rPr>
                <w:rFonts w:asciiTheme="minorHAnsi" w:hAnsiTheme="minorHAnsi" w:cstheme="minorHAnsi"/>
                <w:i w:val="0"/>
                <w:sz w:val="20"/>
              </w:rPr>
              <w:t xml:space="preserve"> </w:t>
            </w:r>
          </w:p>
          <w:p w14:paraId="3342ED58" w14:textId="77777777" w:rsidR="008D6368" w:rsidRPr="008D6368" w:rsidRDefault="008D6368" w:rsidP="008D6368">
            <w:pPr>
              <w:spacing w:line="240" w:lineRule="auto"/>
              <w:contextualSpacing/>
              <w:rPr>
                <w:rFonts w:cstheme="minorHAnsi"/>
                <w:iCs/>
                <w:sz w:val="20"/>
                <w:szCs w:val="20"/>
              </w:rPr>
            </w:pPr>
          </w:p>
          <w:p w14:paraId="29982941"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t>Examples:</w:t>
            </w:r>
          </w:p>
          <w:p w14:paraId="4D7365C0" w14:textId="77777777" w:rsidR="008D6368" w:rsidRPr="008D6368" w:rsidRDefault="008D6368" w:rsidP="008D6368">
            <w:pPr>
              <w:spacing w:line="240" w:lineRule="auto"/>
              <w:contextualSpacing/>
              <w:rPr>
                <w:rFonts w:cstheme="minorHAnsi"/>
                <w:sz w:val="20"/>
                <w:szCs w:val="20"/>
              </w:rPr>
            </w:pPr>
            <w:proofErr w:type="spellStart"/>
            <w:r w:rsidRPr="008D6368">
              <w:rPr>
                <w:rFonts w:cstheme="minorHAnsi"/>
                <w:sz w:val="20"/>
                <w:szCs w:val="20"/>
              </w:rPr>
              <w:t>Hövels</w:t>
            </w:r>
            <w:proofErr w:type="spellEnd"/>
            <w:r w:rsidRPr="008D6368">
              <w:rPr>
                <w:rFonts w:cstheme="minorHAnsi"/>
                <w:sz w:val="20"/>
                <w:szCs w:val="20"/>
              </w:rPr>
              <w:t xml:space="preserve"> AM et al., </w:t>
            </w:r>
            <w:hyperlink r:id="rId40" w:history="1">
              <w:r w:rsidRPr="008D6368">
                <w:rPr>
                  <w:rStyle w:val="Hyperlink"/>
                  <w:rFonts w:cstheme="minorHAnsi"/>
                  <w:sz w:val="20"/>
                  <w:szCs w:val="20"/>
                </w:rPr>
                <w:t>The diagnostic accuracy of CT and MRI in the staging of pelvic lymph noted in patients with prostate cancer: a meta-analysis</w:t>
              </w:r>
            </w:hyperlink>
            <w:r w:rsidRPr="008D6368">
              <w:rPr>
                <w:rFonts w:cstheme="minorHAnsi"/>
                <w:sz w:val="20"/>
                <w:szCs w:val="20"/>
              </w:rPr>
              <w:t xml:space="preserve">.  </w:t>
            </w:r>
            <w:r w:rsidRPr="008D6368">
              <w:rPr>
                <w:rFonts w:cstheme="minorHAnsi"/>
                <w:i/>
                <w:sz w:val="20"/>
                <w:szCs w:val="20"/>
              </w:rPr>
              <w:t>Clinical Radiology</w:t>
            </w:r>
            <w:r w:rsidRPr="008D6368">
              <w:rPr>
                <w:rFonts w:cstheme="minorHAnsi"/>
                <w:sz w:val="20"/>
                <w:szCs w:val="20"/>
              </w:rPr>
              <w:t xml:space="preserve"> 2008; 63:387-395.</w:t>
            </w:r>
          </w:p>
          <w:p w14:paraId="5F1346FF"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t xml:space="preserve"> </w:t>
            </w:r>
          </w:p>
          <w:p w14:paraId="01979316"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t xml:space="preserve">Kwok Y et al., </w:t>
            </w:r>
            <w:hyperlink r:id="rId41" w:history="1">
              <w:r w:rsidRPr="008D6368">
                <w:rPr>
                  <w:rStyle w:val="Hyperlink"/>
                  <w:rFonts w:cstheme="minorHAnsi"/>
                  <w:sz w:val="20"/>
                  <w:szCs w:val="20"/>
                </w:rPr>
                <w:t>Meta-analysis of exercise testing to detect coronary artery disease in women</w:t>
              </w:r>
            </w:hyperlink>
            <w:r w:rsidRPr="008D6368">
              <w:rPr>
                <w:rFonts w:cstheme="minorHAnsi"/>
                <w:sz w:val="20"/>
                <w:szCs w:val="20"/>
              </w:rPr>
              <w:t xml:space="preserve">, </w:t>
            </w:r>
            <w:r w:rsidRPr="008D6368">
              <w:rPr>
                <w:rFonts w:cstheme="minorHAnsi"/>
                <w:i/>
                <w:iCs/>
                <w:sz w:val="20"/>
                <w:szCs w:val="20"/>
              </w:rPr>
              <w:t>American Journal of Cardiology</w:t>
            </w:r>
            <w:r w:rsidRPr="008D6368">
              <w:rPr>
                <w:rFonts w:cstheme="minorHAnsi"/>
                <w:sz w:val="20"/>
                <w:szCs w:val="20"/>
              </w:rPr>
              <w:t xml:space="preserve"> 1999; 83: 660-666.</w:t>
            </w:r>
          </w:p>
          <w:p w14:paraId="2EF25C6E"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t xml:space="preserve"> </w:t>
            </w:r>
          </w:p>
          <w:p w14:paraId="22D0AC99" w14:textId="77777777" w:rsidR="008D6368" w:rsidRPr="008D6368" w:rsidRDefault="008D6368" w:rsidP="008D6368">
            <w:pPr>
              <w:spacing w:line="240" w:lineRule="auto"/>
              <w:contextualSpacing/>
              <w:rPr>
                <w:rFonts w:cstheme="minorHAnsi"/>
                <w:i/>
                <w:sz w:val="20"/>
                <w:szCs w:val="20"/>
              </w:rPr>
            </w:pPr>
            <w:r w:rsidRPr="008D6368">
              <w:rPr>
                <w:rFonts w:cstheme="minorHAnsi"/>
                <w:i/>
                <w:sz w:val="20"/>
                <w:szCs w:val="20"/>
              </w:rPr>
              <w:t>Additional reading:</w:t>
            </w:r>
          </w:p>
          <w:p w14:paraId="3A7A373F"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t xml:space="preserve">Berry DA, Benefits and risks of screening mammography for women in their forties: A statistical approach, </w:t>
            </w:r>
            <w:r w:rsidRPr="008D6368">
              <w:rPr>
                <w:rFonts w:cstheme="minorHAnsi"/>
                <w:i/>
                <w:sz w:val="20"/>
                <w:szCs w:val="20"/>
              </w:rPr>
              <w:t>JNCI</w:t>
            </w:r>
            <w:r w:rsidRPr="008D6368">
              <w:rPr>
                <w:rFonts w:cstheme="minorHAnsi"/>
                <w:sz w:val="20"/>
                <w:szCs w:val="20"/>
              </w:rPr>
              <w:t xml:space="preserve"> 1998; 90:1431-1439.</w:t>
            </w:r>
          </w:p>
          <w:p w14:paraId="7DA63CEB" w14:textId="77777777" w:rsidR="008D6368" w:rsidRPr="008D6368" w:rsidRDefault="008D6368" w:rsidP="008D6368">
            <w:pPr>
              <w:spacing w:line="240" w:lineRule="auto"/>
              <w:contextualSpacing/>
              <w:rPr>
                <w:rFonts w:cstheme="minorHAnsi"/>
                <w:sz w:val="20"/>
                <w:szCs w:val="20"/>
              </w:rPr>
            </w:pPr>
          </w:p>
          <w:p w14:paraId="6D7C0166" w14:textId="77777777" w:rsidR="008D6368" w:rsidRPr="008D6368" w:rsidRDefault="008D6368" w:rsidP="008D6368">
            <w:pPr>
              <w:spacing w:line="240" w:lineRule="auto"/>
              <w:contextualSpacing/>
              <w:rPr>
                <w:rFonts w:cstheme="minorHAnsi"/>
                <w:b/>
                <w:sz w:val="20"/>
                <w:szCs w:val="20"/>
              </w:rPr>
            </w:pPr>
            <w:r w:rsidRPr="008D6368">
              <w:rPr>
                <w:rFonts w:cstheme="minorHAnsi"/>
                <w:b/>
                <w:sz w:val="20"/>
                <w:szCs w:val="20"/>
              </w:rPr>
              <w:t>Applying results to policy and practice</w:t>
            </w:r>
          </w:p>
          <w:p w14:paraId="494E93F9"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t>Systematic Reviews in Health Care: Meta-analysis in Context, 2</w:t>
            </w:r>
            <w:r w:rsidRPr="008D6368">
              <w:rPr>
                <w:rFonts w:cstheme="minorHAnsi"/>
                <w:sz w:val="20"/>
                <w:szCs w:val="20"/>
                <w:vertAlign w:val="superscript"/>
              </w:rPr>
              <w:t>nd</w:t>
            </w:r>
            <w:r w:rsidRPr="008D6368">
              <w:rPr>
                <w:rFonts w:cstheme="minorHAnsi"/>
                <w:sz w:val="20"/>
                <w:szCs w:val="20"/>
              </w:rPr>
              <w:t xml:space="preserve"> Edition, </w:t>
            </w:r>
            <w:proofErr w:type="spellStart"/>
            <w:r w:rsidRPr="008D6368">
              <w:rPr>
                <w:rFonts w:cstheme="minorHAnsi"/>
                <w:sz w:val="20"/>
                <w:szCs w:val="20"/>
              </w:rPr>
              <w:t>Mattias</w:t>
            </w:r>
            <w:proofErr w:type="spellEnd"/>
            <w:r w:rsidRPr="008D6368">
              <w:rPr>
                <w:rFonts w:cstheme="minorHAnsi"/>
                <w:sz w:val="20"/>
                <w:szCs w:val="20"/>
              </w:rPr>
              <w:t xml:space="preserve"> Egger, George Davey Smith and Douglas Altman </w:t>
            </w:r>
            <w:proofErr w:type="spellStart"/>
            <w:r w:rsidRPr="008D6368">
              <w:rPr>
                <w:rFonts w:cstheme="minorHAnsi"/>
                <w:sz w:val="20"/>
                <w:szCs w:val="20"/>
              </w:rPr>
              <w:t>eds</w:t>
            </w:r>
            <w:proofErr w:type="spellEnd"/>
            <w:r w:rsidRPr="008D6368">
              <w:rPr>
                <w:rFonts w:cstheme="minorHAnsi"/>
                <w:sz w:val="20"/>
                <w:szCs w:val="20"/>
              </w:rPr>
              <w:t>, BMJ Books 2011;chapter 19, 21, 23</w:t>
            </w:r>
          </w:p>
          <w:p w14:paraId="668FA347" w14:textId="77777777" w:rsidR="008D6368" w:rsidRPr="008D6368" w:rsidRDefault="008D6368" w:rsidP="008D6368">
            <w:pPr>
              <w:spacing w:line="240" w:lineRule="auto"/>
              <w:contextualSpacing/>
              <w:rPr>
                <w:rFonts w:cstheme="minorHAnsi"/>
                <w:sz w:val="20"/>
                <w:szCs w:val="20"/>
              </w:rPr>
            </w:pPr>
          </w:p>
          <w:p w14:paraId="2F77C33F"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t xml:space="preserve">Ioannidis J, </w:t>
            </w:r>
            <w:proofErr w:type="spellStart"/>
            <w:r w:rsidRPr="008D6368">
              <w:rPr>
                <w:rFonts w:cstheme="minorHAnsi"/>
                <w:sz w:val="20"/>
                <w:szCs w:val="20"/>
              </w:rPr>
              <w:t>Karassa</w:t>
            </w:r>
            <w:proofErr w:type="spellEnd"/>
            <w:r w:rsidRPr="008D6368">
              <w:rPr>
                <w:rFonts w:cstheme="minorHAnsi"/>
                <w:sz w:val="20"/>
                <w:szCs w:val="20"/>
              </w:rPr>
              <w:t xml:space="preserve"> F.  </w:t>
            </w:r>
            <w:hyperlink r:id="rId42" w:history="1">
              <w:r w:rsidRPr="008D6368">
                <w:rPr>
                  <w:rStyle w:val="Hyperlink"/>
                  <w:rFonts w:cstheme="minorHAnsi"/>
                  <w:sz w:val="20"/>
                  <w:szCs w:val="20"/>
                </w:rPr>
                <w:t>The need to consider the wider agenda in systematic reviews and meta-analysis</w:t>
              </w:r>
            </w:hyperlink>
            <w:r w:rsidRPr="008D6368">
              <w:rPr>
                <w:rFonts w:cstheme="minorHAnsi"/>
                <w:sz w:val="20"/>
                <w:szCs w:val="20"/>
              </w:rPr>
              <w:t xml:space="preserve">. BMJ 2010;341:762-65 </w:t>
            </w:r>
          </w:p>
          <w:p w14:paraId="208A034F" w14:textId="77777777" w:rsidR="008D6368" w:rsidRPr="008D6368" w:rsidRDefault="008D6368" w:rsidP="008D6368">
            <w:pPr>
              <w:spacing w:line="240" w:lineRule="auto"/>
              <w:contextualSpacing/>
              <w:rPr>
                <w:rFonts w:cstheme="minorHAnsi"/>
                <w:sz w:val="20"/>
                <w:szCs w:val="20"/>
              </w:rPr>
            </w:pPr>
          </w:p>
          <w:p w14:paraId="69ADA2BF"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t xml:space="preserve">Kendrick T, </w:t>
            </w:r>
            <w:proofErr w:type="spellStart"/>
            <w:r w:rsidRPr="008D6368">
              <w:rPr>
                <w:rFonts w:cstheme="minorHAnsi"/>
                <w:sz w:val="20"/>
                <w:szCs w:val="20"/>
              </w:rPr>
              <w:t>Dowrick</w:t>
            </w:r>
            <w:proofErr w:type="spellEnd"/>
            <w:r w:rsidRPr="008D6368">
              <w:rPr>
                <w:rFonts w:cstheme="minorHAnsi"/>
                <w:sz w:val="20"/>
                <w:szCs w:val="20"/>
              </w:rPr>
              <w:t xml:space="preserve"> C, McBride A, Howe A, Clarke P, </w:t>
            </w:r>
            <w:proofErr w:type="spellStart"/>
            <w:r w:rsidRPr="008D6368">
              <w:rPr>
                <w:rFonts w:cstheme="minorHAnsi"/>
                <w:sz w:val="20"/>
                <w:szCs w:val="20"/>
              </w:rPr>
              <w:t>Maisey</w:t>
            </w:r>
            <w:proofErr w:type="spellEnd"/>
            <w:r w:rsidRPr="008D6368">
              <w:rPr>
                <w:rFonts w:cstheme="minorHAnsi"/>
                <w:sz w:val="20"/>
                <w:szCs w:val="20"/>
              </w:rPr>
              <w:t xml:space="preserve"> S, Moore, Smith PW. </w:t>
            </w:r>
            <w:hyperlink r:id="rId43" w:history="1">
              <w:r w:rsidRPr="008D6368">
                <w:rPr>
                  <w:rStyle w:val="Hyperlink"/>
                  <w:rFonts w:cstheme="minorHAnsi"/>
                  <w:sz w:val="20"/>
                  <w:szCs w:val="20"/>
                </w:rPr>
                <w:t>Management of depression in UK general practice in relation to scores of depression severity questionnaires: analysis of medical record data</w:t>
              </w:r>
            </w:hyperlink>
            <w:r w:rsidRPr="008D6368">
              <w:rPr>
                <w:rFonts w:cstheme="minorHAnsi"/>
                <w:sz w:val="20"/>
                <w:szCs w:val="20"/>
              </w:rPr>
              <w:t>. BMJ 2009</w:t>
            </w:r>
            <w:proofErr w:type="gramStart"/>
            <w:r w:rsidRPr="008D6368">
              <w:rPr>
                <w:rFonts w:cstheme="minorHAnsi"/>
                <w:sz w:val="20"/>
                <w:szCs w:val="20"/>
              </w:rPr>
              <w:t>;338:b750</w:t>
            </w:r>
            <w:proofErr w:type="gramEnd"/>
            <w:r w:rsidRPr="008D6368">
              <w:rPr>
                <w:rFonts w:cstheme="minorHAnsi"/>
                <w:sz w:val="20"/>
                <w:szCs w:val="20"/>
              </w:rPr>
              <w:t>.</w:t>
            </w:r>
          </w:p>
          <w:p w14:paraId="45496A4E" w14:textId="77777777" w:rsidR="008D6368" w:rsidRPr="008D6368" w:rsidRDefault="008D6368" w:rsidP="008D6368">
            <w:pPr>
              <w:spacing w:line="240" w:lineRule="auto"/>
              <w:contextualSpacing/>
              <w:rPr>
                <w:rFonts w:cstheme="minorHAnsi"/>
                <w:sz w:val="20"/>
                <w:szCs w:val="20"/>
              </w:rPr>
            </w:pPr>
          </w:p>
          <w:p w14:paraId="2C8001E9" w14:textId="77777777" w:rsidR="008D6368" w:rsidRPr="008D6368" w:rsidRDefault="008D6368" w:rsidP="008D6368">
            <w:pPr>
              <w:spacing w:line="240" w:lineRule="auto"/>
              <w:contextualSpacing/>
              <w:rPr>
                <w:rFonts w:cstheme="minorHAnsi"/>
                <w:sz w:val="20"/>
                <w:szCs w:val="20"/>
              </w:rPr>
            </w:pPr>
            <w:proofErr w:type="spellStart"/>
            <w:r w:rsidRPr="008D6368">
              <w:rPr>
                <w:rFonts w:cstheme="minorHAnsi"/>
                <w:sz w:val="20"/>
                <w:szCs w:val="20"/>
              </w:rPr>
              <w:t>Glasziou</w:t>
            </w:r>
            <w:proofErr w:type="spellEnd"/>
            <w:r w:rsidRPr="008D6368">
              <w:rPr>
                <w:rFonts w:cstheme="minorHAnsi"/>
                <w:sz w:val="20"/>
                <w:szCs w:val="20"/>
              </w:rPr>
              <w:t xml:space="preserve"> P, Altman DG, Bastian H, </w:t>
            </w:r>
            <w:proofErr w:type="spellStart"/>
            <w:r w:rsidRPr="008D6368">
              <w:rPr>
                <w:rFonts w:cstheme="minorHAnsi"/>
                <w:sz w:val="20"/>
                <w:szCs w:val="20"/>
              </w:rPr>
              <w:t>Boutron</w:t>
            </w:r>
            <w:proofErr w:type="spellEnd"/>
            <w:r w:rsidRPr="008D6368">
              <w:rPr>
                <w:rFonts w:cstheme="minorHAnsi"/>
                <w:sz w:val="20"/>
                <w:szCs w:val="20"/>
              </w:rPr>
              <w:t xml:space="preserve"> I, Bride A, </w:t>
            </w:r>
            <w:proofErr w:type="spellStart"/>
            <w:r w:rsidRPr="008D6368">
              <w:rPr>
                <w:rFonts w:cstheme="minorHAnsi"/>
                <w:sz w:val="20"/>
                <w:szCs w:val="20"/>
              </w:rPr>
              <w:t>Jamtvedt</w:t>
            </w:r>
            <w:proofErr w:type="spellEnd"/>
            <w:r w:rsidRPr="008D6368">
              <w:rPr>
                <w:rFonts w:cstheme="minorHAnsi"/>
                <w:sz w:val="20"/>
                <w:szCs w:val="20"/>
              </w:rPr>
              <w:t xml:space="preserve"> G, Farmer A, </w:t>
            </w:r>
            <w:proofErr w:type="spellStart"/>
            <w:r w:rsidRPr="008D6368">
              <w:rPr>
                <w:rFonts w:cstheme="minorHAnsi"/>
                <w:sz w:val="20"/>
                <w:szCs w:val="20"/>
              </w:rPr>
              <w:t>Ghersi</w:t>
            </w:r>
            <w:proofErr w:type="spellEnd"/>
            <w:r w:rsidRPr="008D6368">
              <w:rPr>
                <w:rFonts w:cstheme="minorHAnsi"/>
                <w:sz w:val="20"/>
                <w:szCs w:val="20"/>
              </w:rPr>
              <w:t xml:space="preserve"> D, Groves T, </w:t>
            </w:r>
            <w:proofErr w:type="spellStart"/>
            <w:r w:rsidRPr="008D6368">
              <w:rPr>
                <w:rFonts w:cstheme="minorHAnsi"/>
                <w:sz w:val="20"/>
                <w:szCs w:val="20"/>
              </w:rPr>
              <w:t>Heneghan</w:t>
            </w:r>
            <w:proofErr w:type="spellEnd"/>
            <w:r w:rsidRPr="008D6368">
              <w:rPr>
                <w:rFonts w:cstheme="minorHAnsi"/>
                <w:sz w:val="20"/>
                <w:szCs w:val="20"/>
              </w:rPr>
              <w:t xml:space="preserve"> C, Hill S, Lewin S, </w:t>
            </w:r>
            <w:proofErr w:type="spellStart"/>
            <w:r w:rsidRPr="008D6368">
              <w:rPr>
                <w:rFonts w:cstheme="minorHAnsi"/>
                <w:sz w:val="20"/>
                <w:szCs w:val="20"/>
              </w:rPr>
              <w:t>Michie</w:t>
            </w:r>
            <w:proofErr w:type="spellEnd"/>
            <w:r w:rsidRPr="008D6368">
              <w:rPr>
                <w:rFonts w:cstheme="minorHAnsi"/>
                <w:sz w:val="20"/>
                <w:szCs w:val="20"/>
              </w:rPr>
              <w:t xml:space="preserve"> S, </w:t>
            </w:r>
            <w:proofErr w:type="spellStart"/>
            <w:r w:rsidRPr="008D6368">
              <w:rPr>
                <w:rFonts w:cstheme="minorHAnsi"/>
                <w:sz w:val="20"/>
                <w:szCs w:val="20"/>
              </w:rPr>
              <w:t>Perera</w:t>
            </w:r>
            <w:proofErr w:type="spellEnd"/>
            <w:r w:rsidRPr="008D6368">
              <w:rPr>
                <w:rFonts w:cstheme="minorHAnsi"/>
                <w:sz w:val="20"/>
                <w:szCs w:val="20"/>
              </w:rPr>
              <w:t xml:space="preserve"> R, Pomeroy V, </w:t>
            </w:r>
            <w:proofErr w:type="spellStart"/>
            <w:r w:rsidRPr="008D6368">
              <w:rPr>
                <w:rFonts w:cstheme="minorHAnsi"/>
                <w:sz w:val="20"/>
                <w:szCs w:val="20"/>
              </w:rPr>
              <w:t>Tilson</w:t>
            </w:r>
            <w:proofErr w:type="spellEnd"/>
            <w:r w:rsidRPr="008D6368">
              <w:rPr>
                <w:rFonts w:cstheme="minorHAnsi"/>
                <w:sz w:val="20"/>
                <w:szCs w:val="20"/>
              </w:rPr>
              <w:t xml:space="preserve"> J, Sheppard S, Williams JW. </w:t>
            </w:r>
            <w:hyperlink r:id="rId44" w:history="1">
              <w:r w:rsidRPr="008D6368">
                <w:rPr>
                  <w:rStyle w:val="Hyperlink"/>
                  <w:rFonts w:cstheme="minorHAnsi"/>
                  <w:sz w:val="20"/>
                  <w:szCs w:val="20"/>
                </w:rPr>
                <w:t>Taking healthcare interventions from trial to practice.</w:t>
              </w:r>
            </w:hyperlink>
            <w:r w:rsidRPr="008D6368">
              <w:rPr>
                <w:rFonts w:cstheme="minorHAnsi"/>
                <w:sz w:val="20"/>
                <w:szCs w:val="20"/>
              </w:rPr>
              <w:t xml:space="preserve"> BMJ 2010</w:t>
            </w:r>
            <w:proofErr w:type="gramStart"/>
            <w:r w:rsidRPr="008D6368">
              <w:rPr>
                <w:rFonts w:cstheme="minorHAnsi"/>
                <w:sz w:val="20"/>
                <w:szCs w:val="20"/>
              </w:rPr>
              <w:t>;341:c3852</w:t>
            </w:r>
            <w:proofErr w:type="gramEnd"/>
            <w:r w:rsidRPr="008D6368">
              <w:rPr>
                <w:rFonts w:cstheme="minorHAnsi"/>
                <w:sz w:val="20"/>
                <w:szCs w:val="20"/>
              </w:rPr>
              <w:t xml:space="preserve">. </w:t>
            </w:r>
          </w:p>
          <w:p w14:paraId="45D61DBD" w14:textId="77777777" w:rsidR="008D6368" w:rsidRPr="008D6368" w:rsidRDefault="008D6368" w:rsidP="008D6368">
            <w:pPr>
              <w:spacing w:line="240" w:lineRule="auto"/>
              <w:contextualSpacing/>
              <w:rPr>
                <w:rFonts w:cstheme="minorHAnsi"/>
                <w:sz w:val="20"/>
                <w:szCs w:val="20"/>
              </w:rPr>
            </w:pPr>
          </w:p>
          <w:p w14:paraId="423FAA2F" w14:textId="77777777" w:rsidR="008D6368" w:rsidRPr="008D6368" w:rsidRDefault="008D6368" w:rsidP="008D6368">
            <w:pPr>
              <w:spacing w:line="240" w:lineRule="auto"/>
              <w:contextualSpacing/>
              <w:rPr>
                <w:rFonts w:cstheme="minorHAnsi"/>
                <w:sz w:val="20"/>
                <w:szCs w:val="20"/>
              </w:rPr>
            </w:pPr>
            <w:r w:rsidRPr="008D6368">
              <w:rPr>
                <w:rFonts w:cstheme="minorHAnsi"/>
                <w:sz w:val="20"/>
                <w:szCs w:val="20"/>
              </w:rPr>
              <w:lastRenderedPageBreak/>
              <w:t xml:space="preserve">Bastian H, </w:t>
            </w:r>
            <w:proofErr w:type="spellStart"/>
            <w:r w:rsidRPr="008D6368">
              <w:rPr>
                <w:rFonts w:cstheme="minorHAnsi"/>
                <w:sz w:val="20"/>
                <w:szCs w:val="20"/>
              </w:rPr>
              <w:t>Glasziou</w:t>
            </w:r>
            <w:proofErr w:type="spellEnd"/>
            <w:r w:rsidRPr="008D6368">
              <w:rPr>
                <w:rFonts w:cstheme="minorHAnsi"/>
                <w:sz w:val="20"/>
                <w:szCs w:val="20"/>
              </w:rPr>
              <w:t xml:space="preserve"> P, Chalmers I.  </w:t>
            </w:r>
            <w:hyperlink r:id="rId45" w:history="1">
              <w:r w:rsidRPr="008D6368">
                <w:rPr>
                  <w:rStyle w:val="Hyperlink"/>
                  <w:rFonts w:cstheme="minorHAnsi"/>
                  <w:sz w:val="20"/>
                  <w:szCs w:val="20"/>
                </w:rPr>
                <w:t>Seventy-Five Trials and Eleven Systematic Reviews a Day: How Will I Ever Keep Up</w:t>
              </w:r>
            </w:hyperlink>
            <w:r w:rsidRPr="008D6368">
              <w:rPr>
                <w:rFonts w:cstheme="minorHAnsi"/>
                <w:sz w:val="20"/>
                <w:szCs w:val="20"/>
              </w:rPr>
              <w:t xml:space="preserve">? </w:t>
            </w:r>
            <w:proofErr w:type="spellStart"/>
            <w:r w:rsidRPr="008D6368">
              <w:rPr>
                <w:rFonts w:cstheme="minorHAnsi"/>
                <w:sz w:val="20"/>
                <w:szCs w:val="20"/>
              </w:rPr>
              <w:t>PLoS</w:t>
            </w:r>
            <w:proofErr w:type="spellEnd"/>
            <w:r w:rsidRPr="008D6368">
              <w:rPr>
                <w:rFonts w:cstheme="minorHAnsi"/>
                <w:sz w:val="20"/>
                <w:szCs w:val="20"/>
              </w:rPr>
              <w:t xml:space="preserve"> Medicine 2010;7(9):e1000326</w:t>
            </w:r>
          </w:p>
          <w:p w14:paraId="1F70B4B4" w14:textId="77777777" w:rsidR="008D6368" w:rsidRPr="008D6368" w:rsidRDefault="008D6368" w:rsidP="008D6368">
            <w:pPr>
              <w:spacing w:line="240" w:lineRule="auto"/>
              <w:contextualSpacing/>
              <w:rPr>
                <w:rFonts w:cstheme="minorHAnsi"/>
                <w:sz w:val="20"/>
                <w:szCs w:val="20"/>
              </w:rPr>
            </w:pPr>
          </w:p>
          <w:p w14:paraId="502A9A0C" w14:textId="6E6F883F" w:rsidR="004F68DA" w:rsidRPr="008D6368" w:rsidRDefault="008D6368" w:rsidP="008D6368">
            <w:pPr>
              <w:spacing w:line="240" w:lineRule="auto"/>
              <w:contextualSpacing/>
              <w:rPr>
                <w:rFonts w:cstheme="minorHAnsi"/>
                <w:sz w:val="20"/>
                <w:szCs w:val="20"/>
              </w:rPr>
            </w:pPr>
            <w:proofErr w:type="spellStart"/>
            <w:r w:rsidRPr="008D6368">
              <w:rPr>
                <w:rFonts w:cstheme="minorHAnsi"/>
                <w:sz w:val="20"/>
                <w:szCs w:val="20"/>
              </w:rPr>
              <w:t>Guyatt</w:t>
            </w:r>
            <w:proofErr w:type="spellEnd"/>
            <w:r w:rsidRPr="008D6368">
              <w:rPr>
                <w:rFonts w:cstheme="minorHAnsi"/>
                <w:sz w:val="20"/>
                <w:szCs w:val="20"/>
              </w:rPr>
              <w:t xml:space="preserve"> GH, </w:t>
            </w:r>
            <w:proofErr w:type="spellStart"/>
            <w:r w:rsidRPr="008D6368">
              <w:rPr>
                <w:rFonts w:cstheme="minorHAnsi"/>
                <w:sz w:val="20"/>
                <w:szCs w:val="20"/>
              </w:rPr>
              <w:t>Oxman</w:t>
            </w:r>
            <w:proofErr w:type="spellEnd"/>
            <w:r w:rsidRPr="008D6368">
              <w:rPr>
                <w:rFonts w:cstheme="minorHAnsi"/>
                <w:sz w:val="20"/>
                <w:szCs w:val="20"/>
              </w:rPr>
              <w:t xml:space="preserve"> AD, Kunz R, </w:t>
            </w:r>
            <w:proofErr w:type="spellStart"/>
            <w:r w:rsidRPr="008D6368">
              <w:rPr>
                <w:rFonts w:cstheme="minorHAnsi"/>
                <w:sz w:val="20"/>
                <w:szCs w:val="20"/>
              </w:rPr>
              <w:t>Falck-Ytter</w:t>
            </w:r>
            <w:proofErr w:type="spellEnd"/>
            <w:r w:rsidRPr="008D6368">
              <w:rPr>
                <w:rFonts w:cstheme="minorHAnsi"/>
                <w:sz w:val="20"/>
                <w:szCs w:val="20"/>
              </w:rPr>
              <w:t xml:space="preserve"> Y, </w:t>
            </w:r>
            <w:proofErr w:type="spellStart"/>
            <w:r w:rsidRPr="008D6368">
              <w:rPr>
                <w:rFonts w:cstheme="minorHAnsi"/>
                <w:sz w:val="20"/>
                <w:szCs w:val="20"/>
              </w:rPr>
              <w:t>Vist</w:t>
            </w:r>
            <w:proofErr w:type="spellEnd"/>
            <w:r w:rsidRPr="008D6368">
              <w:rPr>
                <w:rFonts w:cstheme="minorHAnsi"/>
                <w:sz w:val="20"/>
                <w:szCs w:val="20"/>
              </w:rPr>
              <w:t xml:space="preserve"> GE, </w:t>
            </w:r>
            <w:proofErr w:type="spellStart"/>
            <w:r w:rsidRPr="008D6368">
              <w:rPr>
                <w:rFonts w:cstheme="minorHAnsi"/>
                <w:sz w:val="20"/>
                <w:szCs w:val="20"/>
              </w:rPr>
              <w:t>Liberati</w:t>
            </w:r>
            <w:proofErr w:type="spellEnd"/>
            <w:r w:rsidRPr="008D6368">
              <w:rPr>
                <w:rFonts w:cstheme="minorHAnsi"/>
                <w:sz w:val="20"/>
                <w:szCs w:val="20"/>
              </w:rPr>
              <w:t xml:space="preserve"> A, </w:t>
            </w:r>
            <w:proofErr w:type="spellStart"/>
            <w:r w:rsidRPr="008D6368">
              <w:rPr>
                <w:rFonts w:cstheme="minorHAnsi"/>
                <w:sz w:val="20"/>
                <w:szCs w:val="20"/>
              </w:rPr>
              <w:t>Schunemann</w:t>
            </w:r>
            <w:proofErr w:type="spellEnd"/>
            <w:r w:rsidRPr="008D6368">
              <w:rPr>
                <w:rFonts w:cstheme="minorHAnsi"/>
                <w:sz w:val="20"/>
                <w:szCs w:val="20"/>
              </w:rPr>
              <w:t xml:space="preserve"> HJ. </w:t>
            </w:r>
            <w:hyperlink r:id="rId46" w:history="1">
              <w:r w:rsidRPr="008D6368">
                <w:rPr>
                  <w:rStyle w:val="Hyperlink"/>
                  <w:rFonts w:cstheme="minorHAnsi"/>
                  <w:sz w:val="20"/>
                  <w:szCs w:val="20"/>
                </w:rPr>
                <w:t>GRADE: going from evidence to recommendations</w:t>
              </w:r>
            </w:hyperlink>
            <w:r>
              <w:rPr>
                <w:rFonts w:cstheme="minorHAnsi"/>
                <w:sz w:val="20"/>
                <w:szCs w:val="20"/>
              </w:rPr>
              <w:t>. BMJ 2008;336:1049-51</w:t>
            </w:r>
          </w:p>
        </w:tc>
      </w:tr>
      <w:tr w:rsidR="004F68DA" w:rsidRPr="008D6368" w14:paraId="56B8A6E8" w14:textId="0D649594" w:rsidTr="00557CE3">
        <w:trPr>
          <w:trHeight w:val="432"/>
        </w:trPr>
        <w:tc>
          <w:tcPr>
            <w:tcW w:w="741" w:type="dxa"/>
            <w:tcBorders>
              <w:top w:val="single" w:sz="2" w:space="0" w:color="000000"/>
              <w:bottom w:val="single" w:sz="2" w:space="0" w:color="000000"/>
            </w:tcBorders>
          </w:tcPr>
          <w:p w14:paraId="68C6E09F" w14:textId="77777777" w:rsidR="004F68DA" w:rsidRPr="008D6368" w:rsidRDefault="004F68DA" w:rsidP="00557CE3">
            <w:pPr>
              <w:spacing w:after="0" w:line="240" w:lineRule="auto"/>
              <w:contextualSpacing/>
              <w:rPr>
                <w:rFonts w:cstheme="minorHAnsi"/>
                <w:b/>
                <w:sz w:val="20"/>
                <w:szCs w:val="20"/>
              </w:rPr>
            </w:pPr>
            <w:r w:rsidRPr="008D6368">
              <w:rPr>
                <w:rFonts w:cstheme="minorHAnsi"/>
                <w:b/>
                <w:sz w:val="20"/>
                <w:szCs w:val="20"/>
              </w:rPr>
              <w:lastRenderedPageBreak/>
              <w:t>Class 15</w:t>
            </w:r>
          </w:p>
        </w:tc>
        <w:tc>
          <w:tcPr>
            <w:tcW w:w="785" w:type="dxa"/>
            <w:tcBorders>
              <w:top w:val="single" w:sz="2" w:space="0" w:color="000000"/>
              <w:bottom w:val="single" w:sz="2" w:space="0" w:color="000000"/>
            </w:tcBorders>
          </w:tcPr>
          <w:p w14:paraId="30A41253" w14:textId="49A7DD58" w:rsidR="004F68DA" w:rsidRPr="008D6368" w:rsidRDefault="00E87BDF" w:rsidP="00557CE3">
            <w:pPr>
              <w:spacing w:after="0" w:line="240" w:lineRule="auto"/>
              <w:contextualSpacing/>
              <w:rPr>
                <w:rFonts w:cstheme="minorHAnsi"/>
                <w:sz w:val="20"/>
                <w:szCs w:val="20"/>
              </w:rPr>
            </w:pPr>
            <w:r w:rsidRPr="008D6368">
              <w:rPr>
                <w:rFonts w:cstheme="minorHAnsi"/>
                <w:sz w:val="20"/>
                <w:szCs w:val="20"/>
              </w:rPr>
              <w:t>April 24</w:t>
            </w:r>
          </w:p>
          <w:p w14:paraId="6FE7FBE6" w14:textId="19619ED6" w:rsidR="004F68DA" w:rsidRPr="008D6368" w:rsidRDefault="004F68DA" w:rsidP="00557CE3">
            <w:pPr>
              <w:spacing w:after="0" w:line="240" w:lineRule="auto"/>
              <w:contextualSpacing/>
              <w:rPr>
                <w:rFonts w:cstheme="minorHAnsi"/>
                <w:sz w:val="20"/>
                <w:szCs w:val="20"/>
              </w:rPr>
            </w:pPr>
          </w:p>
        </w:tc>
        <w:tc>
          <w:tcPr>
            <w:tcW w:w="1559" w:type="dxa"/>
            <w:tcBorders>
              <w:top w:val="single" w:sz="2" w:space="0" w:color="000000"/>
              <w:bottom w:val="single" w:sz="2" w:space="0" w:color="000000"/>
            </w:tcBorders>
          </w:tcPr>
          <w:p w14:paraId="65D1DFBB" w14:textId="6C331991" w:rsidR="004F68DA" w:rsidRPr="008D6368" w:rsidRDefault="00192EF7" w:rsidP="00557CE3">
            <w:pPr>
              <w:spacing w:after="0" w:line="240" w:lineRule="auto"/>
              <w:contextualSpacing/>
              <w:rPr>
                <w:rFonts w:cstheme="minorHAnsi"/>
                <w:b/>
                <w:sz w:val="20"/>
                <w:szCs w:val="20"/>
              </w:rPr>
            </w:pPr>
            <w:r w:rsidRPr="008D6368">
              <w:rPr>
                <w:rFonts w:cstheme="minorHAnsi"/>
                <w:b/>
                <w:sz w:val="20"/>
                <w:szCs w:val="20"/>
              </w:rPr>
              <w:t>Final presentations</w:t>
            </w:r>
          </w:p>
          <w:p w14:paraId="6ABFAF65" w14:textId="77777777" w:rsidR="001378DF" w:rsidRPr="008D6368" w:rsidRDefault="001378DF" w:rsidP="00557CE3">
            <w:pPr>
              <w:spacing w:after="0" w:line="240" w:lineRule="auto"/>
              <w:contextualSpacing/>
              <w:rPr>
                <w:rFonts w:cstheme="minorHAnsi"/>
                <w:b/>
                <w:sz w:val="20"/>
                <w:szCs w:val="20"/>
              </w:rPr>
            </w:pPr>
          </w:p>
        </w:tc>
        <w:tc>
          <w:tcPr>
            <w:tcW w:w="785" w:type="dxa"/>
            <w:tcBorders>
              <w:top w:val="single" w:sz="2" w:space="0" w:color="000000"/>
              <w:bottom w:val="single" w:sz="2" w:space="0" w:color="000000"/>
            </w:tcBorders>
          </w:tcPr>
          <w:p w14:paraId="62B163D0" w14:textId="02B7A101" w:rsidR="004F68DA" w:rsidRPr="008D6368" w:rsidRDefault="00192EF7" w:rsidP="008D6368">
            <w:pPr>
              <w:spacing w:after="0" w:line="240" w:lineRule="auto"/>
              <w:contextualSpacing/>
              <w:rPr>
                <w:rFonts w:cstheme="minorHAnsi"/>
                <w:b/>
                <w:sz w:val="20"/>
                <w:szCs w:val="20"/>
              </w:rPr>
            </w:pPr>
            <w:r w:rsidRPr="008D6368">
              <w:rPr>
                <w:rFonts w:cstheme="minorHAnsi"/>
                <w:b/>
                <w:sz w:val="20"/>
                <w:szCs w:val="20"/>
              </w:rPr>
              <w:t>Final presentations due</w:t>
            </w:r>
          </w:p>
        </w:tc>
        <w:tc>
          <w:tcPr>
            <w:tcW w:w="6066" w:type="dxa"/>
            <w:tcBorders>
              <w:top w:val="single" w:sz="2" w:space="0" w:color="000000"/>
              <w:bottom w:val="single" w:sz="2" w:space="0" w:color="000000"/>
            </w:tcBorders>
          </w:tcPr>
          <w:p w14:paraId="66CB12B9" w14:textId="7C8057B3" w:rsidR="004F68DA" w:rsidRPr="008D6368" w:rsidRDefault="004F68DA" w:rsidP="008D6368">
            <w:pPr>
              <w:spacing w:after="0" w:line="240" w:lineRule="auto"/>
              <w:contextualSpacing/>
              <w:rPr>
                <w:rFonts w:cstheme="minorHAnsi"/>
                <w:sz w:val="20"/>
                <w:szCs w:val="20"/>
              </w:rPr>
            </w:pPr>
          </w:p>
        </w:tc>
      </w:tr>
      <w:tr w:rsidR="009E246C" w:rsidRPr="008D6368" w14:paraId="30D2EEA4" w14:textId="77777777" w:rsidTr="00557CE3">
        <w:trPr>
          <w:trHeight w:val="432"/>
        </w:trPr>
        <w:tc>
          <w:tcPr>
            <w:tcW w:w="741" w:type="dxa"/>
            <w:tcBorders>
              <w:top w:val="single" w:sz="2" w:space="0" w:color="000000"/>
              <w:bottom w:val="single" w:sz="12" w:space="0" w:color="000000"/>
            </w:tcBorders>
          </w:tcPr>
          <w:p w14:paraId="39654ABF" w14:textId="4725A7E9" w:rsidR="009E246C" w:rsidRPr="008D6368" w:rsidRDefault="009E246C" w:rsidP="00557CE3">
            <w:pPr>
              <w:spacing w:after="0" w:line="240" w:lineRule="auto"/>
              <w:contextualSpacing/>
              <w:rPr>
                <w:rFonts w:cstheme="minorHAnsi"/>
                <w:b/>
                <w:sz w:val="20"/>
                <w:szCs w:val="20"/>
              </w:rPr>
            </w:pPr>
            <w:r w:rsidRPr="008D6368">
              <w:rPr>
                <w:rFonts w:cstheme="minorHAnsi"/>
                <w:b/>
                <w:sz w:val="20"/>
                <w:szCs w:val="20"/>
              </w:rPr>
              <w:t>Class 16</w:t>
            </w:r>
          </w:p>
        </w:tc>
        <w:tc>
          <w:tcPr>
            <w:tcW w:w="785" w:type="dxa"/>
            <w:tcBorders>
              <w:top w:val="single" w:sz="2" w:space="0" w:color="000000"/>
              <w:bottom w:val="single" w:sz="12" w:space="0" w:color="000000"/>
            </w:tcBorders>
          </w:tcPr>
          <w:p w14:paraId="7DF15D65" w14:textId="126FA9D5" w:rsidR="009E246C" w:rsidRPr="008D6368" w:rsidRDefault="00E87BDF" w:rsidP="00557CE3">
            <w:pPr>
              <w:spacing w:after="0" w:line="240" w:lineRule="auto"/>
              <w:contextualSpacing/>
              <w:rPr>
                <w:rFonts w:cstheme="minorHAnsi"/>
                <w:sz w:val="20"/>
                <w:szCs w:val="20"/>
              </w:rPr>
            </w:pPr>
            <w:r w:rsidRPr="008D6368">
              <w:rPr>
                <w:rFonts w:cstheme="minorHAnsi"/>
                <w:sz w:val="20"/>
                <w:szCs w:val="20"/>
              </w:rPr>
              <w:t>May 1</w:t>
            </w:r>
          </w:p>
        </w:tc>
        <w:tc>
          <w:tcPr>
            <w:tcW w:w="1559" w:type="dxa"/>
            <w:tcBorders>
              <w:top w:val="single" w:sz="2" w:space="0" w:color="000000"/>
              <w:bottom w:val="single" w:sz="12" w:space="0" w:color="000000"/>
            </w:tcBorders>
          </w:tcPr>
          <w:p w14:paraId="2F98EDFE" w14:textId="0E9F2D2B" w:rsidR="009E246C" w:rsidRPr="008D6368" w:rsidRDefault="00192EF7" w:rsidP="00557CE3">
            <w:pPr>
              <w:spacing w:after="0" w:line="240" w:lineRule="auto"/>
              <w:contextualSpacing/>
              <w:rPr>
                <w:rFonts w:cstheme="minorHAnsi"/>
                <w:b/>
                <w:sz w:val="20"/>
                <w:szCs w:val="20"/>
              </w:rPr>
            </w:pPr>
            <w:r w:rsidRPr="008D6368">
              <w:rPr>
                <w:rFonts w:cstheme="minorHAnsi"/>
                <w:b/>
                <w:sz w:val="20"/>
                <w:szCs w:val="20"/>
              </w:rPr>
              <w:t>Final presentations</w:t>
            </w:r>
          </w:p>
        </w:tc>
        <w:tc>
          <w:tcPr>
            <w:tcW w:w="785" w:type="dxa"/>
            <w:tcBorders>
              <w:top w:val="single" w:sz="2" w:space="0" w:color="000000"/>
              <w:bottom w:val="single" w:sz="12" w:space="0" w:color="000000"/>
            </w:tcBorders>
          </w:tcPr>
          <w:p w14:paraId="18EEFE52" w14:textId="3BC10BEE" w:rsidR="009E246C" w:rsidRPr="008D6368" w:rsidRDefault="00192EF7" w:rsidP="008D6368">
            <w:pPr>
              <w:spacing w:after="0" w:line="240" w:lineRule="auto"/>
              <w:contextualSpacing/>
              <w:rPr>
                <w:rFonts w:cstheme="minorHAnsi"/>
                <w:b/>
                <w:sz w:val="20"/>
                <w:szCs w:val="20"/>
              </w:rPr>
            </w:pPr>
            <w:r w:rsidRPr="008D6368">
              <w:rPr>
                <w:rFonts w:cstheme="minorHAnsi"/>
                <w:b/>
                <w:sz w:val="20"/>
                <w:szCs w:val="20"/>
              </w:rPr>
              <w:t>Final paper due</w:t>
            </w:r>
          </w:p>
        </w:tc>
        <w:tc>
          <w:tcPr>
            <w:tcW w:w="6066" w:type="dxa"/>
            <w:tcBorders>
              <w:top w:val="single" w:sz="2" w:space="0" w:color="000000"/>
              <w:bottom w:val="single" w:sz="12" w:space="0" w:color="000000"/>
            </w:tcBorders>
          </w:tcPr>
          <w:p w14:paraId="239F497C" w14:textId="77777777" w:rsidR="009E246C" w:rsidRPr="008D6368" w:rsidRDefault="009E246C" w:rsidP="008D6368">
            <w:pPr>
              <w:spacing w:after="0" w:line="240" w:lineRule="auto"/>
              <w:contextualSpacing/>
              <w:rPr>
                <w:rFonts w:cstheme="minorHAnsi"/>
                <w:sz w:val="20"/>
                <w:szCs w:val="20"/>
              </w:rPr>
            </w:pPr>
          </w:p>
        </w:tc>
      </w:tr>
    </w:tbl>
    <w:p w14:paraId="1FA92504" w14:textId="77777777" w:rsidR="00B86F53" w:rsidRDefault="00B86F53" w:rsidP="001D56DB">
      <w:pPr>
        <w:keepNext/>
        <w:tabs>
          <w:tab w:val="left" w:pos="360"/>
        </w:tabs>
        <w:autoSpaceDE w:val="0"/>
        <w:autoSpaceDN w:val="0"/>
        <w:adjustRightInd w:val="0"/>
        <w:spacing w:after="0" w:line="240" w:lineRule="auto"/>
        <w:rPr>
          <w:rFonts w:cstheme="minorHAnsi"/>
          <w:color w:val="000000"/>
        </w:rPr>
      </w:pPr>
    </w:p>
    <w:p w14:paraId="4196EC2C" w14:textId="77777777" w:rsidR="00B86F53" w:rsidRDefault="00B86F53">
      <w:pPr>
        <w:rPr>
          <w:rFonts w:cstheme="minorHAnsi"/>
          <w:color w:val="000000"/>
        </w:rPr>
      </w:pPr>
      <w:r>
        <w:rPr>
          <w:rFonts w:cstheme="minorHAnsi"/>
          <w:color w:val="000000"/>
        </w:rPr>
        <w:br w:type="page"/>
      </w:r>
    </w:p>
    <w:p w14:paraId="319E7945" w14:textId="7444FB1F" w:rsidR="00B86F53" w:rsidRDefault="00F62A5F" w:rsidP="001D56DB">
      <w:pPr>
        <w:keepNext/>
        <w:tabs>
          <w:tab w:val="left" w:pos="360"/>
        </w:tabs>
        <w:autoSpaceDE w:val="0"/>
        <w:autoSpaceDN w:val="0"/>
        <w:adjustRightInd w:val="0"/>
        <w:spacing w:after="0" w:line="240" w:lineRule="auto"/>
        <w:rPr>
          <w:rFonts w:cstheme="minorHAnsi"/>
          <w:b/>
          <w:color w:val="000000"/>
          <w:u w:val="single"/>
        </w:rPr>
      </w:pPr>
      <w:r w:rsidRPr="00F62A5F">
        <w:rPr>
          <w:rFonts w:cstheme="minorHAnsi"/>
          <w:b/>
          <w:color w:val="000000"/>
          <w:u w:val="single"/>
        </w:rPr>
        <w:lastRenderedPageBreak/>
        <w:t>CLASS PUBLICATIONS</w:t>
      </w:r>
    </w:p>
    <w:p w14:paraId="0BF0A5CF" w14:textId="77777777" w:rsidR="00E55E54" w:rsidRPr="001A650B" w:rsidRDefault="00E55E54" w:rsidP="00E55E54">
      <w:pPr>
        <w:rPr>
          <w:rFonts w:cstheme="minorHAnsi"/>
        </w:rPr>
      </w:pPr>
      <w:r w:rsidRPr="001A650B">
        <w:rPr>
          <w:rFonts w:cstheme="minorHAnsi"/>
        </w:rPr>
        <w:t>Many students go on to publish based on the work they performed in this class. Since 2011, the following publications have been produced by participants in this class:</w:t>
      </w:r>
    </w:p>
    <w:p w14:paraId="24203EB2" w14:textId="77777777" w:rsidR="00E55E54" w:rsidRPr="001A650B" w:rsidRDefault="00E55E54" w:rsidP="00E55E54">
      <w:pPr>
        <w:pStyle w:val="EndNoteBibliography"/>
        <w:numPr>
          <w:ilvl w:val="0"/>
          <w:numId w:val="29"/>
        </w:numPr>
        <w:spacing w:after="0"/>
        <w:rPr>
          <w:rFonts w:asciiTheme="minorHAnsi" w:hAnsiTheme="minorHAnsi" w:cstheme="minorHAnsi"/>
        </w:rPr>
      </w:pPr>
      <w:r w:rsidRPr="001A650B">
        <w:rPr>
          <w:rFonts w:asciiTheme="minorHAnsi" w:hAnsiTheme="minorHAnsi" w:cstheme="minorHAnsi"/>
        </w:rPr>
        <w:t>Salazar AS, Recinos LM, Mian HS, Stoll C, Simon LE, Sekhon S, Colditz GA, Wildes TM. Geriatric Assessment and Frailty Scores Predict Mortality in Myeloma: Systematic Review and Meta-analysis. Clinical Lymphoma Myeloma and Leukemia. 2019;19(8):488-96.e6.</w:t>
      </w:r>
    </w:p>
    <w:p w14:paraId="0411ED69" w14:textId="77777777" w:rsidR="00E55E54" w:rsidRPr="001A650B" w:rsidRDefault="00E55E54" w:rsidP="00E55E54">
      <w:pPr>
        <w:pStyle w:val="EndNoteBibliography"/>
        <w:numPr>
          <w:ilvl w:val="0"/>
          <w:numId w:val="29"/>
        </w:numPr>
        <w:spacing w:after="0"/>
        <w:rPr>
          <w:rFonts w:asciiTheme="minorHAnsi" w:hAnsiTheme="minorHAnsi" w:cstheme="minorHAnsi"/>
        </w:rPr>
      </w:pPr>
      <w:r w:rsidRPr="001A650B">
        <w:rPr>
          <w:rFonts w:asciiTheme="minorHAnsi" w:hAnsiTheme="minorHAnsi" w:cstheme="minorHAnsi"/>
        </w:rPr>
        <w:t>Cheng S-Y, Davis M, Jonson-Reid M, Yaeger L. Compared to what? A meta-analysis of batterer intervention studies using nontreated controls or comparisons. Trauma, Violence, &amp; Abuse. 2019</w:t>
      </w:r>
    </w:p>
    <w:p w14:paraId="3ECD9835" w14:textId="77777777" w:rsidR="00E55E54" w:rsidRPr="001A650B" w:rsidRDefault="00E55E54" w:rsidP="00E55E54">
      <w:pPr>
        <w:pStyle w:val="ListParagraph"/>
        <w:numPr>
          <w:ilvl w:val="0"/>
          <w:numId w:val="28"/>
        </w:numPr>
        <w:spacing w:after="0" w:line="240" w:lineRule="auto"/>
        <w:rPr>
          <w:rFonts w:cstheme="minorHAnsi"/>
        </w:rPr>
      </w:pPr>
      <w:r w:rsidRPr="001A650B">
        <w:rPr>
          <w:rFonts w:cstheme="minorHAnsi"/>
        </w:rPr>
        <w:t xml:space="preserve">Eskew AM, </w:t>
      </w:r>
      <w:proofErr w:type="spellStart"/>
      <w:r w:rsidRPr="001A650B">
        <w:rPr>
          <w:rFonts w:cstheme="minorHAnsi"/>
        </w:rPr>
        <w:t>Bedrick</w:t>
      </w:r>
      <w:proofErr w:type="spellEnd"/>
      <w:r w:rsidRPr="001A650B">
        <w:rPr>
          <w:rFonts w:cstheme="minorHAnsi"/>
        </w:rPr>
        <w:t xml:space="preserve"> BS, Hardi A, Stoll CR, Colditz GA, Tuuli MG, </w:t>
      </w:r>
      <w:proofErr w:type="spellStart"/>
      <w:r w:rsidRPr="001A650B">
        <w:rPr>
          <w:rFonts w:cstheme="minorHAnsi"/>
        </w:rPr>
        <w:t>Jungheim</w:t>
      </w:r>
      <w:proofErr w:type="spellEnd"/>
      <w:r w:rsidRPr="001A650B">
        <w:rPr>
          <w:rFonts w:cstheme="minorHAnsi"/>
        </w:rPr>
        <w:t xml:space="preserve"> ES. </w:t>
      </w:r>
      <w:proofErr w:type="spellStart"/>
      <w:r w:rsidRPr="001A650B">
        <w:rPr>
          <w:rFonts w:cstheme="minorHAnsi"/>
        </w:rPr>
        <w:t>Letrozole</w:t>
      </w:r>
      <w:proofErr w:type="spellEnd"/>
      <w:r w:rsidRPr="001A650B">
        <w:rPr>
          <w:rFonts w:cstheme="minorHAnsi"/>
        </w:rPr>
        <w:t xml:space="preserve"> Compared </w:t>
      </w:r>
      <w:proofErr w:type="gramStart"/>
      <w:r w:rsidRPr="001A650B">
        <w:rPr>
          <w:rFonts w:cstheme="minorHAnsi"/>
        </w:rPr>
        <w:t>With</w:t>
      </w:r>
      <w:proofErr w:type="gramEnd"/>
      <w:r w:rsidRPr="001A650B">
        <w:rPr>
          <w:rFonts w:cstheme="minorHAnsi"/>
        </w:rPr>
        <w:t xml:space="preserve"> Clomiphene Citrate for Unexplained Infertility: A Systematic Review and Meta-analysis. Obstetrics &amp; Gynecology. 2019 Feb 4.</w:t>
      </w:r>
    </w:p>
    <w:p w14:paraId="7054F288" w14:textId="77777777" w:rsidR="00E55E54" w:rsidRPr="001A650B" w:rsidRDefault="00E55E54" w:rsidP="00E55E54">
      <w:pPr>
        <w:pStyle w:val="ListParagraph"/>
        <w:numPr>
          <w:ilvl w:val="0"/>
          <w:numId w:val="28"/>
        </w:numPr>
        <w:spacing w:after="0" w:line="240" w:lineRule="auto"/>
        <w:rPr>
          <w:rFonts w:cstheme="minorHAnsi"/>
        </w:rPr>
      </w:pPr>
      <w:r w:rsidRPr="001A650B">
        <w:rPr>
          <w:rFonts w:cstheme="minorHAnsi"/>
          <w:shd w:val="clear" w:color="auto" w:fill="FFFFFF"/>
        </w:rPr>
        <w:t xml:space="preserve">Lewkowitz AK, Gupta A, Simon L, Sabol BA, Stoll C, Cooke E, </w:t>
      </w:r>
      <w:proofErr w:type="spellStart"/>
      <w:r w:rsidRPr="001A650B">
        <w:rPr>
          <w:rFonts w:cstheme="minorHAnsi"/>
          <w:shd w:val="clear" w:color="auto" w:fill="FFFFFF"/>
        </w:rPr>
        <w:t>Rampersad</w:t>
      </w:r>
      <w:proofErr w:type="spellEnd"/>
      <w:r w:rsidRPr="001A650B">
        <w:rPr>
          <w:rFonts w:cstheme="minorHAnsi"/>
          <w:shd w:val="clear" w:color="auto" w:fill="FFFFFF"/>
        </w:rPr>
        <w:t xml:space="preserve"> RA, Tuuli MG. Intravenous compared with oral iron for the treatment of iron-deficiency anemia in pregnancy: a systematic review and meta-analysis. Journal of Perinatology. 2019 Jan 28:1.</w:t>
      </w:r>
    </w:p>
    <w:p w14:paraId="05E93DFA" w14:textId="77777777" w:rsidR="00E55E54" w:rsidRPr="001A650B" w:rsidRDefault="00E55E54" w:rsidP="00E55E54">
      <w:pPr>
        <w:pStyle w:val="ListParagraph"/>
        <w:numPr>
          <w:ilvl w:val="0"/>
          <w:numId w:val="28"/>
        </w:numPr>
        <w:spacing w:after="160" w:line="259" w:lineRule="auto"/>
        <w:rPr>
          <w:rFonts w:cstheme="minorHAnsi"/>
        </w:rPr>
      </w:pPr>
      <w:r w:rsidRPr="001A650B">
        <w:rPr>
          <w:rFonts w:cstheme="minorHAnsi"/>
        </w:rPr>
        <w:t xml:space="preserve">Yu L, </w:t>
      </w:r>
      <w:proofErr w:type="spellStart"/>
      <w:r w:rsidRPr="001A650B">
        <w:rPr>
          <w:rFonts w:cstheme="minorHAnsi"/>
        </w:rPr>
        <w:t>Kronen</w:t>
      </w:r>
      <w:proofErr w:type="spellEnd"/>
      <w:r w:rsidRPr="001A650B">
        <w:rPr>
          <w:rFonts w:cstheme="minorHAnsi"/>
        </w:rPr>
        <w:t xml:space="preserve"> RJ, Simon LE, Stoll CRT, Colditz GA, Tuuli MG. Prophylactic negative-pressure wound therapy after cesarean is associated with reduced risk of surgical site infection: a systematic review and meta-analysis. American journal of obstetrics and gynecology. 2018</w:t>
      </w:r>
      <w:proofErr w:type="gramStart"/>
      <w:r w:rsidRPr="001A650B">
        <w:rPr>
          <w:rFonts w:cstheme="minorHAnsi"/>
        </w:rPr>
        <w:t>;218</w:t>
      </w:r>
      <w:proofErr w:type="gramEnd"/>
      <w:r w:rsidRPr="001A650B">
        <w:rPr>
          <w:rFonts w:cstheme="minorHAnsi"/>
        </w:rPr>
        <w:t>(2):200-10.e1.</w:t>
      </w:r>
    </w:p>
    <w:p w14:paraId="5FFB48F4" w14:textId="77777777" w:rsidR="00E55E54" w:rsidRPr="001A650B" w:rsidRDefault="00E55E54" w:rsidP="00E55E54">
      <w:pPr>
        <w:pStyle w:val="ListParagraph"/>
        <w:numPr>
          <w:ilvl w:val="0"/>
          <w:numId w:val="28"/>
        </w:numPr>
        <w:spacing w:after="160" w:line="259" w:lineRule="auto"/>
        <w:rPr>
          <w:rFonts w:cstheme="minorHAnsi"/>
        </w:rPr>
      </w:pPr>
      <w:proofErr w:type="spellStart"/>
      <w:r w:rsidRPr="001A650B">
        <w:rPr>
          <w:rFonts w:cstheme="minorHAnsi"/>
        </w:rPr>
        <w:t>Karlow</w:t>
      </w:r>
      <w:proofErr w:type="spellEnd"/>
      <w:r w:rsidRPr="001A650B">
        <w:rPr>
          <w:rFonts w:cstheme="minorHAnsi"/>
        </w:rPr>
        <w:t xml:space="preserve"> N, </w:t>
      </w:r>
      <w:proofErr w:type="spellStart"/>
      <w:r w:rsidRPr="001A650B">
        <w:rPr>
          <w:rFonts w:cstheme="minorHAnsi"/>
        </w:rPr>
        <w:t>Schlaepfer</w:t>
      </w:r>
      <w:proofErr w:type="spellEnd"/>
      <w:r w:rsidRPr="001A650B">
        <w:rPr>
          <w:rFonts w:cstheme="minorHAnsi"/>
        </w:rPr>
        <w:t xml:space="preserve"> CH, Stoll CRT, Doering M, Carpenter CR, Colditz GA, et al. A Systematic Review and Meta-analysis of Ketamine as an Alternative to Opioids for Acute Pain in the Emergency Department. Academic emergency </w:t>
      </w:r>
      <w:proofErr w:type="gramStart"/>
      <w:r w:rsidRPr="001A650B">
        <w:rPr>
          <w:rFonts w:cstheme="minorHAnsi"/>
        </w:rPr>
        <w:t>medicine :</w:t>
      </w:r>
      <w:proofErr w:type="gramEnd"/>
      <w:r w:rsidRPr="001A650B">
        <w:rPr>
          <w:rFonts w:cstheme="minorHAnsi"/>
        </w:rPr>
        <w:t xml:space="preserve"> official journal of the Society for Academic Emergency Medicine. 2018.</w:t>
      </w:r>
    </w:p>
    <w:p w14:paraId="462AAE21" w14:textId="77777777" w:rsidR="00E55E54" w:rsidRPr="001A650B" w:rsidRDefault="00E55E54" w:rsidP="00E55E54">
      <w:pPr>
        <w:pStyle w:val="ListParagraph"/>
        <w:numPr>
          <w:ilvl w:val="0"/>
          <w:numId w:val="28"/>
        </w:numPr>
        <w:spacing w:after="160" w:line="259" w:lineRule="auto"/>
        <w:rPr>
          <w:rFonts w:cstheme="minorHAnsi"/>
        </w:rPr>
      </w:pPr>
      <w:r w:rsidRPr="001A650B">
        <w:rPr>
          <w:rFonts w:cstheme="minorHAnsi"/>
        </w:rPr>
        <w:t xml:space="preserve">George IA, Thomas B, Sadhu JS. Systematic review and meta-analysis of adjunctive corticosteroids in the treatment of tuberculous pericarditis. The international journal of tuberculosis and lung </w:t>
      </w:r>
      <w:proofErr w:type="gramStart"/>
      <w:r w:rsidRPr="001A650B">
        <w:rPr>
          <w:rFonts w:cstheme="minorHAnsi"/>
        </w:rPr>
        <w:t>disease :</w:t>
      </w:r>
      <w:proofErr w:type="gramEnd"/>
      <w:r w:rsidRPr="001A650B">
        <w:rPr>
          <w:rFonts w:cstheme="minorHAnsi"/>
        </w:rPr>
        <w:t xml:space="preserve"> the official journal of the International Union against Tuberculosis and Lung Disease. 2018</w:t>
      </w:r>
      <w:proofErr w:type="gramStart"/>
      <w:r w:rsidRPr="001A650B">
        <w:rPr>
          <w:rFonts w:cstheme="minorHAnsi"/>
        </w:rPr>
        <w:t>;22</w:t>
      </w:r>
      <w:proofErr w:type="gramEnd"/>
      <w:r w:rsidRPr="001A650B">
        <w:rPr>
          <w:rFonts w:cstheme="minorHAnsi"/>
        </w:rPr>
        <w:t>(5):551-6.</w:t>
      </w:r>
    </w:p>
    <w:p w14:paraId="6E66FAA2" w14:textId="77777777" w:rsidR="00E55E54" w:rsidRPr="001A650B" w:rsidRDefault="00E55E54" w:rsidP="00E55E54">
      <w:pPr>
        <w:pStyle w:val="ListParagraph"/>
        <w:numPr>
          <w:ilvl w:val="0"/>
          <w:numId w:val="28"/>
        </w:numPr>
        <w:spacing w:after="160" w:line="259" w:lineRule="auto"/>
        <w:rPr>
          <w:rFonts w:cstheme="minorHAnsi"/>
        </w:rPr>
      </w:pPr>
      <w:proofErr w:type="spellStart"/>
      <w:r w:rsidRPr="001A650B">
        <w:rPr>
          <w:rFonts w:cstheme="minorHAnsi"/>
        </w:rPr>
        <w:t>Vouri</w:t>
      </w:r>
      <w:proofErr w:type="spellEnd"/>
      <w:r w:rsidRPr="001A650B">
        <w:rPr>
          <w:rFonts w:cstheme="minorHAnsi"/>
        </w:rPr>
        <w:t xml:space="preserve"> SM, </w:t>
      </w:r>
      <w:proofErr w:type="spellStart"/>
      <w:r w:rsidRPr="001A650B">
        <w:rPr>
          <w:rFonts w:cstheme="minorHAnsi"/>
        </w:rPr>
        <w:t>Kebodeaux</w:t>
      </w:r>
      <w:proofErr w:type="spellEnd"/>
      <w:r w:rsidRPr="001A650B">
        <w:rPr>
          <w:rFonts w:cstheme="minorHAnsi"/>
        </w:rPr>
        <w:t xml:space="preserve"> CD, </w:t>
      </w:r>
      <w:proofErr w:type="spellStart"/>
      <w:r w:rsidRPr="001A650B">
        <w:rPr>
          <w:rFonts w:cstheme="minorHAnsi"/>
        </w:rPr>
        <w:t>Stranges</w:t>
      </w:r>
      <w:proofErr w:type="spellEnd"/>
      <w:r w:rsidRPr="001A650B">
        <w:rPr>
          <w:rFonts w:cstheme="minorHAnsi"/>
        </w:rPr>
        <w:t xml:space="preserve"> PM, </w:t>
      </w:r>
      <w:proofErr w:type="spellStart"/>
      <w:r w:rsidRPr="001A650B">
        <w:rPr>
          <w:rFonts w:cstheme="minorHAnsi"/>
        </w:rPr>
        <w:t>Teshome</w:t>
      </w:r>
      <w:proofErr w:type="spellEnd"/>
      <w:r w:rsidRPr="001A650B">
        <w:rPr>
          <w:rFonts w:cstheme="minorHAnsi"/>
        </w:rPr>
        <w:t xml:space="preserve"> BF. Adverse events and treatment discontinuations of </w:t>
      </w:r>
      <w:proofErr w:type="spellStart"/>
      <w:r w:rsidRPr="001A650B">
        <w:rPr>
          <w:rFonts w:cstheme="minorHAnsi"/>
        </w:rPr>
        <w:t>antimuscarinics</w:t>
      </w:r>
      <w:proofErr w:type="spellEnd"/>
      <w:r w:rsidRPr="001A650B">
        <w:rPr>
          <w:rFonts w:cstheme="minorHAnsi"/>
        </w:rPr>
        <w:t xml:space="preserve"> for the treatment of overactive bladder in older adults: A systematic review and meta-analysis. Archives of gerontology and geriatrics. 2017</w:t>
      </w:r>
      <w:proofErr w:type="gramStart"/>
      <w:r w:rsidRPr="001A650B">
        <w:rPr>
          <w:rFonts w:cstheme="minorHAnsi"/>
        </w:rPr>
        <w:t>;69:77</w:t>
      </w:r>
      <w:proofErr w:type="gramEnd"/>
      <w:r w:rsidRPr="001A650B">
        <w:rPr>
          <w:rFonts w:cstheme="minorHAnsi"/>
        </w:rPr>
        <w:t>-96.</w:t>
      </w:r>
    </w:p>
    <w:p w14:paraId="7FAA0019" w14:textId="77777777" w:rsidR="00E55E54" w:rsidRPr="001A650B" w:rsidRDefault="00E55E54" w:rsidP="00E55E54">
      <w:pPr>
        <w:pStyle w:val="ListParagraph"/>
        <w:numPr>
          <w:ilvl w:val="0"/>
          <w:numId w:val="28"/>
        </w:numPr>
        <w:spacing w:after="160" w:line="259" w:lineRule="auto"/>
        <w:rPr>
          <w:rFonts w:cstheme="minorHAnsi"/>
        </w:rPr>
      </w:pPr>
      <w:r w:rsidRPr="001A650B">
        <w:rPr>
          <w:rFonts w:cstheme="minorHAnsi"/>
        </w:rPr>
        <w:t xml:space="preserve">Johnson KJ, Lee JM, Ahsan K, </w:t>
      </w:r>
      <w:proofErr w:type="spellStart"/>
      <w:r w:rsidRPr="001A650B">
        <w:rPr>
          <w:rFonts w:cstheme="minorHAnsi"/>
        </w:rPr>
        <w:t>Padda</w:t>
      </w:r>
      <w:proofErr w:type="spellEnd"/>
      <w:r w:rsidRPr="001A650B">
        <w:rPr>
          <w:rFonts w:cstheme="minorHAnsi"/>
        </w:rPr>
        <w:t xml:space="preserve"> H, Feng Q, </w:t>
      </w:r>
      <w:proofErr w:type="spellStart"/>
      <w:r w:rsidRPr="001A650B">
        <w:rPr>
          <w:rFonts w:cstheme="minorHAnsi"/>
        </w:rPr>
        <w:t>Partap</w:t>
      </w:r>
      <w:proofErr w:type="spellEnd"/>
      <w:r w:rsidRPr="001A650B">
        <w:rPr>
          <w:rFonts w:cstheme="minorHAnsi"/>
        </w:rPr>
        <w:t xml:space="preserve"> S, et al. Pediatric cancer risk in association with birth defects: A systematic review. </w:t>
      </w:r>
      <w:proofErr w:type="spellStart"/>
      <w:r w:rsidRPr="001A650B">
        <w:rPr>
          <w:rFonts w:cstheme="minorHAnsi"/>
        </w:rPr>
        <w:t>PloS</w:t>
      </w:r>
      <w:proofErr w:type="spellEnd"/>
      <w:r w:rsidRPr="001A650B">
        <w:rPr>
          <w:rFonts w:cstheme="minorHAnsi"/>
        </w:rPr>
        <w:t xml:space="preserve"> one. 2017</w:t>
      </w:r>
      <w:proofErr w:type="gramStart"/>
      <w:r w:rsidRPr="001A650B">
        <w:rPr>
          <w:rFonts w:cstheme="minorHAnsi"/>
        </w:rPr>
        <w:t>;12</w:t>
      </w:r>
      <w:proofErr w:type="gramEnd"/>
      <w:r w:rsidRPr="001A650B">
        <w:rPr>
          <w:rFonts w:cstheme="minorHAnsi"/>
        </w:rPr>
        <w:t>(7):e0181246.</w:t>
      </w:r>
    </w:p>
    <w:p w14:paraId="37D2CAF9" w14:textId="77777777" w:rsidR="00E55E54" w:rsidRPr="001A650B" w:rsidRDefault="00E55E54" w:rsidP="00E55E54">
      <w:pPr>
        <w:pStyle w:val="ListParagraph"/>
        <w:numPr>
          <w:ilvl w:val="0"/>
          <w:numId w:val="28"/>
        </w:numPr>
        <w:spacing w:after="160" w:line="259" w:lineRule="auto"/>
        <w:rPr>
          <w:rFonts w:cstheme="minorHAnsi"/>
        </w:rPr>
      </w:pPr>
      <w:proofErr w:type="spellStart"/>
      <w:r w:rsidRPr="001A650B">
        <w:rPr>
          <w:rFonts w:cstheme="minorHAnsi"/>
        </w:rPr>
        <w:t>Drewry</w:t>
      </w:r>
      <w:proofErr w:type="spellEnd"/>
      <w:r w:rsidRPr="001A650B">
        <w:rPr>
          <w:rFonts w:cstheme="minorHAnsi"/>
        </w:rPr>
        <w:t xml:space="preserve"> AM, </w:t>
      </w:r>
      <w:proofErr w:type="spellStart"/>
      <w:r w:rsidRPr="001A650B">
        <w:rPr>
          <w:rFonts w:cstheme="minorHAnsi"/>
        </w:rPr>
        <w:t>Ablordeppey</w:t>
      </w:r>
      <w:proofErr w:type="spellEnd"/>
      <w:r w:rsidRPr="001A650B">
        <w:rPr>
          <w:rFonts w:cstheme="minorHAnsi"/>
        </w:rPr>
        <w:t xml:space="preserve"> EA, Murray ET, Stoll CRT, Izadi SR, Dalton CM, et al. Antipyretic Therapy in Critically Ill Septic Patients: A Systematic Review and Meta-Analysis. Critical care medicine. 2017</w:t>
      </w:r>
      <w:proofErr w:type="gramStart"/>
      <w:r w:rsidRPr="001A650B">
        <w:rPr>
          <w:rFonts w:cstheme="minorHAnsi"/>
        </w:rPr>
        <w:t>;45</w:t>
      </w:r>
      <w:proofErr w:type="gramEnd"/>
      <w:r w:rsidRPr="001A650B">
        <w:rPr>
          <w:rFonts w:cstheme="minorHAnsi"/>
        </w:rPr>
        <w:t>(5):806-13.</w:t>
      </w:r>
    </w:p>
    <w:p w14:paraId="2CC19118" w14:textId="77777777" w:rsidR="00E55E54" w:rsidRPr="001A650B" w:rsidRDefault="00E55E54" w:rsidP="00E55E54">
      <w:pPr>
        <w:pStyle w:val="ListParagraph"/>
        <w:numPr>
          <w:ilvl w:val="0"/>
          <w:numId w:val="28"/>
        </w:numPr>
        <w:spacing w:after="160" w:line="259" w:lineRule="auto"/>
        <w:rPr>
          <w:rFonts w:cstheme="minorHAnsi"/>
        </w:rPr>
      </w:pPr>
      <w:r w:rsidRPr="001A650B">
        <w:rPr>
          <w:rFonts w:cstheme="minorHAnsi"/>
        </w:rPr>
        <w:t xml:space="preserve">Carter EB, </w:t>
      </w:r>
      <w:proofErr w:type="spellStart"/>
      <w:r w:rsidRPr="001A650B">
        <w:rPr>
          <w:rFonts w:cstheme="minorHAnsi"/>
        </w:rPr>
        <w:t>Temming</w:t>
      </w:r>
      <w:proofErr w:type="spellEnd"/>
      <w:r w:rsidRPr="001A650B">
        <w:rPr>
          <w:rFonts w:cstheme="minorHAnsi"/>
        </w:rPr>
        <w:t xml:space="preserve"> LA, Fowler S, </w:t>
      </w:r>
      <w:proofErr w:type="spellStart"/>
      <w:r w:rsidRPr="001A650B">
        <w:rPr>
          <w:rFonts w:cstheme="minorHAnsi"/>
        </w:rPr>
        <w:t>Eppes</w:t>
      </w:r>
      <w:proofErr w:type="spellEnd"/>
      <w:r w:rsidRPr="001A650B">
        <w:rPr>
          <w:rFonts w:cstheme="minorHAnsi"/>
        </w:rPr>
        <w:t xml:space="preserve"> C, Gross G, Srinivas SK, et al. Evidence-Based Bundles and Cesarean Delivery Surgical Site Infections: A Systematic Review and Meta-analysis. Obstetrics and gynecology. 2017</w:t>
      </w:r>
      <w:proofErr w:type="gramStart"/>
      <w:r w:rsidRPr="001A650B">
        <w:rPr>
          <w:rFonts w:cstheme="minorHAnsi"/>
        </w:rPr>
        <w:t>;130</w:t>
      </w:r>
      <w:proofErr w:type="gramEnd"/>
      <w:r w:rsidRPr="001A650B">
        <w:rPr>
          <w:rFonts w:cstheme="minorHAnsi"/>
        </w:rPr>
        <w:t>(4):735-46.</w:t>
      </w:r>
    </w:p>
    <w:p w14:paraId="18E80902" w14:textId="77777777" w:rsidR="00E55E54" w:rsidRPr="001A650B" w:rsidRDefault="00E55E54" w:rsidP="00E55E54">
      <w:pPr>
        <w:pStyle w:val="ListParagraph"/>
        <w:numPr>
          <w:ilvl w:val="0"/>
          <w:numId w:val="28"/>
        </w:numPr>
        <w:spacing w:after="160" w:line="259" w:lineRule="auto"/>
        <w:rPr>
          <w:rFonts w:cstheme="minorHAnsi"/>
        </w:rPr>
      </w:pPr>
      <w:r w:rsidRPr="001A650B">
        <w:rPr>
          <w:rFonts w:cstheme="minorHAnsi"/>
        </w:rPr>
        <w:t xml:space="preserve">Walling EB, </w:t>
      </w:r>
      <w:proofErr w:type="spellStart"/>
      <w:r w:rsidRPr="001A650B">
        <w:rPr>
          <w:rFonts w:cstheme="minorHAnsi"/>
        </w:rPr>
        <w:t>Benzoni</w:t>
      </w:r>
      <w:proofErr w:type="spellEnd"/>
      <w:r w:rsidRPr="001A650B">
        <w:rPr>
          <w:rFonts w:cstheme="minorHAnsi"/>
        </w:rPr>
        <w:t xml:space="preserve"> N, </w:t>
      </w:r>
      <w:proofErr w:type="spellStart"/>
      <w:r w:rsidRPr="001A650B">
        <w:rPr>
          <w:rFonts w:cstheme="minorHAnsi"/>
        </w:rPr>
        <w:t>Dornfeld</w:t>
      </w:r>
      <w:proofErr w:type="spellEnd"/>
      <w:r w:rsidRPr="001A650B">
        <w:rPr>
          <w:rFonts w:cstheme="minorHAnsi"/>
        </w:rPr>
        <w:t xml:space="preserve"> J, Bhandari R, Sisk BA, Garbutt J, et al. Interventions to Improve HPV Vaccine Uptake: A Systematic Review. Pediatrics. 2016</w:t>
      </w:r>
      <w:proofErr w:type="gramStart"/>
      <w:r w:rsidRPr="001A650B">
        <w:rPr>
          <w:rFonts w:cstheme="minorHAnsi"/>
        </w:rPr>
        <w:t>;138</w:t>
      </w:r>
      <w:proofErr w:type="gramEnd"/>
      <w:r w:rsidRPr="001A650B">
        <w:rPr>
          <w:rFonts w:cstheme="minorHAnsi"/>
        </w:rPr>
        <w:t>(1).</w:t>
      </w:r>
    </w:p>
    <w:p w14:paraId="18AE498D" w14:textId="77777777" w:rsidR="00E55E54" w:rsidRPr="001A650B" w:rsidRDefault="00E55E54" w:rsidP="00E55E54">
      <w:pPr>
        <w:pStyle w:val="ListParagraph"/>
        <w:numPr>
          <w:ilvl w:val="0"/>
          <w:numId w:val="28"/>
        </w:numPr>
        <w:spacing w:after="160" w:line="259" w:lineRule="auto"/>
        <w:rPr>
          <w:rFonts w:cstheme="minorHAnsi"/>
        </w:rPr>
      </w:pPr>
      <w:r w:rsidRPr="001A650B">
        <w:rPr>
          <w:rFonts w:cstheme="minorHAnsi"/>
        </w:rPr>
        <w:t xml:space="preserve">Roland L, Fischer C, Tran K, </w:t>
      </w:r>
      <w:proofErr w:type="spellStart"/>
      <w:r w:rsidRPr="001A650B">
        <w:rPr>
          <w:rFonts w:cstheme="minorHAnsi"/>
        </w:rPr>
        <w:t>Rachakonda</w:t>
      </w:r>
      <w:proofErr w:type="spellEnd"/>
      <w:r w:rsidRPr="001A650B">
        <w:rPr>
          <w:rFonts w:cstheme="minorHAnsi"/>
        </w:rPr>
        <w:t xml:space="preserve"> T, </w:t>
      </w:r>
      <w:proofErr w:type="spellStart"/>
      <w:r w:rsidRPr="001A650B">
        <w:rPr>
          <w:rFonts w:cstheme="minorHAnsi"/>
        </w:rPr>
        <w:t>Kallogjeri</w:t>
      </w:r>
      <w:proofErr w:type="spellEnd"/>
      <w:r w:rsidRPr="001A650B">
        <w:rPr>
          <w:rFonts w:cstheme="minorHAnsi"/>
        </w:rPr>
        <w:t xml:space="preserve"> D, Lieu JE. Quality of Life in Children with Hearing Impairment: Systematic Review and Meta-analysis. Otolaryngology--head and neck </w:t>
      </w:r>
      <w:proofErr w:type="gramStart"/>
      <w:r w:rsidRPr="001A650B">
        <w:rPr>
          <w:rFonts w:cstheme="minorHAnsi"/>
        </w:rPr>
        <w:t>surgery :</w:t>
      </w:r>
      <w:proofErr w:type="gramEnd"/>
      <w:r w:rsidRPr="001A650B">
        <w:rPr>
          <w:rFonts w:cstheme="minorHAnsi"/>
        </w:rPr>
        <w:t xml:space="preserve"> official journal of American Academy of Otolaryngology-Head and Neck Surgery. 2016</w:t>
      </w:r>
      <w:proofErr w:type="gramStart"/>
      <w:r w:rsidRPr="001A650B">
        <w:rPr>
          <w:rFonts w:cstheme="minorHAnsi"/>
        </w:rPr>
        <w:t>;155</w:t>
      </w:r>
      <w:proofErr w:type="gramEnd"/>
      <w:r w:rsidRPr="001A650B">
        <w:rPr>
          <w:rFonts w:cstheme="minorHAnsi"/>
        </w:rPr>
        <w:t>(2):208-19.</w:t>
      </w:r>
    </w:p>
    <w:p w14:paraId="7148660F" w14:textId="77777777" w:rsidR="00E55E54" w:rsidRPr="001A650B" w:rsidRDefault="00E55E54" w:rsidP="00E55E54">
      <w:pPr>
        <w:pStyle w:val="ListParagraph"/>
        <w:numPr>
          <w:ilvl w:val="0"/>
          <w:numId w:val="28"/>
        </w:numPr>
        <w:spacing w:after="160" w:line="259" w:lineRule="auto"/>
        <w:rPr>
          <w:rFonts w:cstheme="minorHAnsi"/>
        </w:rPr>
      </w:pPr>
      <w:r w:rsidRPr="001A650B">
        <w:rPr>
          <w:rFonts w:cstheme="minorHAnsi"/>
        </w:rPr>
        <w:t xml:space="preserve">Conner SN, </w:t>
      </w:r>
      <w:proofErr w:type="spellStart"/>
      <w:r w:rsidRPr="001A650B">
        <w:rPr>
          <w:rFonts w:cstheme="minorHAnsi"/>
        </w:rPr>
        <w:t>Bedell</w:t>
      </w:r>
      <w:proofErr w:type="spellEnd"/>
      <w:r w:rsidRPr="001A650B">
        <w:rPr>
          <w:rFonts w:cstheme="minorHAnsi"/>
        </w:rPr>
        <w:t xml:space="preserve"> V, </w:t>
      </w:r>
      <w:proofErr w:type="spellStart"/>
      <w:r w:rsidRPr="001A650B">
        <w:rPr>
          <w:rFonts w:cstheme="minorHAnsi"/>
        </w:rPr>
        <w:t>Lipsey</w:t>
      </w:r>
      <w:proofErr w:type="spellEnd"/>
      <w:r w:rsidRPr="001A650B">
        <w:rPr>
          <w:rFonts w:cstheme="minorHAnsi"/>
        </w:rPr>
        <w:t xml:space="preserve"> K, </w:t>
      </w:r>
      <w:proofErr w:type="spellStart"/>
      <w:r w:rsidRPr="001A650B">
        <w:rPr>
          <w:rFonts w:cstheme="minorHAnsi"/>
        </w:rPr>
        <w:t>Macones</w:t>
      </w:r>
      <w:proofErr w:type="spellEnd"/>
      <w:r w:rsidRPr="001A650B">
        <w:rPr>
          <w:rFonts w:cstheme="minorHAnsi"/>
        </w:rPr>
        <w:t xml:space="preserve"> GA, Cahill AG, Tuuli MG. Maternal Marijuana Use and Adverse Neonatal Outcomes: A Systematic Review and Meta-analysis. Obstetrics and gynecology. 2016</w:t>
      </w:r>
      <w:proofErr w:type="gramStart"/>
      <w:r w:rsidRPr="001A650B">
        <w:rPr>
          <w:rFonts w:cstheme="minorHAnsi"/>
        </w:rPr>
        <w:t>;128</w:t>
      </w:r>
      <w:proofErr w:type="gramEnd"/>
      <w:r w:rsidRPr="001A650B">
        <w:rPr>
          <w:rFonts w:cstheme="minorHAnsi"/>
        </w:rPr>
        <w:t>(4):713-23.</w:t>
      </w:r>
    </w:p>
    <w:p w14:paraId="0180445D" w14:textId="77777777" w:rsidR="00E55E54" w:rsidRPr="001A650B" w:rsidRDefault="00E55E54" w:rsidP="00E55E54">
      <w:pPr>
        <w:pStyle w:val="ListParagraph"/>
        <w:numPr>
          <w:ilvl w:val="0"/>
          <w:numId w:val="28"/>
        </w:numPr>
        <w:spacing w:after="160" w:line="259" w:lineRule="auto"/>
        <w:rPr>
          <w:rFonts w:cstheme="minorHAnsi"/>
        </w:rPr>
      </w:pPr>
      <w:r w:rsidRPr="001A650B">
        <w:rPr>
          <w:rFonts w:cstheme="minorHAnsi"/>
        </w:rPr>
        <w:lastRenderedPageBreak/>
        <w:t xml:space="preserve">Carter EB, </w:t>
      </w:r>
      <w:proofErr w:type="spellStart"/>
      <w:r w:rsidRPr="001A650B">
        <w:rPr>
          <w:rFonts w:cstheme="minorHAnsi"/>
        </w:rPr>
        <w:t>Temming</w:t>
      </w:r>
      <w:proofErr w:type="spellEnd"/>
      <w:r w:rsidRPr="001A650B">
        <w:rPr>
          <w:rFonts w:cstheme="minorHAnsi"/>
        </w:rPr>
        <w:t xml:space="preserve"> LA, Akin J, Fowler S, </w:t>
      </w:r>
      <w:proofErr w:type="spellStart"/>
      <w:r w:rsidRPr="001A650B">
        <w:rPr>
          <w:rFonts w:cstheme="minorHAnsi"/>
        </w:rPr>
        <w:t>Macones</w:t>
      </w:r>
      <w:proofErr w:type="spellEnd"/>
      <w:r w:rsidRPr="001A650B">
        <w:rPr>
          <w:rFonts w:cstheme="minorHAnsi"/>
        </w:rPr>
        <w:t xml:space="preserve"> GA, Colditz GA, et al. Group Prenatal Care Compared With Traditional Prenatal Care: A Systematic Review and Meta-analysis. Obstetrics and gynecology. 2016</w:t>
      </w:r>
      <w:proofErr w:type="gramStart"/>
      <w:r w:rsidRPr="001A650B">
        <w:rPr>
          <w:rFonts w:cstheme="minorHAnsi"/>
        </w:rPr>
        <w:t>;128</w:t>
      </w:r>
      <w:proofErr w:type="gramEnd"/>
      <w:r w:rsidRPr="001A650B">
        <w:rPr>
          <w:rFonts w:cstheme="minorHAnsi"/>
        </w:rPr>
        <w:t>(3):551-61.</w:t>
      </w:r>
    </w:p>
    <w:p w14:paraId="30CB6174" w14:textId="77777777" w:rsidR="00E55E54" w:rsidRPr="001A650B" w:rsidRDefault="00E55E54" w:rsidP="00E55E54">
      <w:pPr>
        <w:pStyle w:val="ListParagraph"/>
        <w:numPr>
          <w:ilvl w:val="0"/>
          <w:numId w:val="28"/>
        </w:numPr>
        <w:spacing w:after="160" w:line="259" w:lineRule="auto"/>
        <w:rPr>
          <w:rFonts w:cstheme="minorHAnsi"/>
        </w:rPr>
      </w:pPr>
      <w:r w:rsidRPr="001A650B">
        <w:rPr>
          <w:rFonts w:cstheme="minorHAnsi"/>
        </w:rPr>
        <w:t xml:space="preserve">Boots CE, Meister M, Cooper AR, Hardi A, </w:t>
      </w:r>
      <w:proofErr w:type="spellStart"/>
      <w:r w:rsidRPr="001A650B">
        <w:rPr>
          <w:rFonts w:cstheme="minorHAnsi"/>
        </w:rPr>
        <w:t>Jungheim</w:t>
      </w:r>
      <w:proofErr w:type="spellEnd"/>
      <w:r w:rsidRPr="001A650B">
        <w:rPr>
          <w:rFonts w:cstheme="minorHAnsi"/>
        </w:rPr>
        <w:t xml:space="preserve"> ES. Ovarian stimulation in the luteal phase: systematic review and meta-analysis. Journal of Assisted Reproduction and Genetics. 2016</w:t>
      </w:r>
      <w:proofErr w:type="gramStart"/>
      <w:r w:rsidRPr="001A650B">
        <w:rPr>
          <w:rFonts w:cstheme="minorHAnsi"/>
        </w:rPr>
        <w:t>;33</w:t>
      </w:r>
      <w:proofErr w:type="gramEnd"/>
      <w:r w:rsidRPr="001A650B">
        <w:rPr>
          <w:rFonts w:cstheme="minorHAnsi"/>
        </w:rPr>
        <w:t>(8):971-80.</w:t>
      </w:r>
    </w:p>
    <w:p w14:paraId="0566656E" w14:textId="77777777" w:rsidR="00E55E54" w:rsidRPr="001A650B" w:rsidRDefault="00E55E54" w:rsidP="00E55E54">
      <w:pPr>
        <w:pStyle w:val="ListParagraph"/>
        <w:numPr>
          <w:ilvl w:val="0"/>
          <w:numId w:val="28"/>
        </w:numPr>
        <w:spacing w:after="160" w:line="259" w:lineRule="auto"/>
        <w:rPr>
          <w:rFonts w:cstheme="minorHAnsi"/>
        </w:rPr>
      </w:pPr>
      <w:r w:rsidRPr="001A650B">
        <w:rPr>
          <w:rFonts w:cstheme="minorHAnsi"/>
        </w:rPr>
        <w:t xml:space="preserve">Yarbrough CK, Ong CJ, Beyer AB, </w:t>
      </w:r>
      <w:proofErr w:type="spellStart"/>
      <w:r w:rsidRPr="001A650B">
        <w:rPr>
          <w:rFonts w:cstheme="minorHAnsi"/>
        </w:rPr>
        <w:t>Lipsey</w:t>
      </w:r>
      <w:proofErr w:type="spellEnd"/>
      <w:r w:rsidRPr="001A650B">
        <w:rPr>
          <w:rFonts w:cstheme="minorHAnsi"/>
        </w:rPr>
        <w:t xml:space="preserve"> K, </w:t>
      </w:r>
      <w:proofErr w:type="spellStart"/>
      <w:r w:rsidRPr="001A650B">
        <w:rPr>
          <w:rFonts w:cstheme="minorHAnsi"/>
        </w:rPr>
        <w:t>Derdeyn</w:t>
      </w:r>
      <w:proofErr w:type="spellEnd"/>
      <w:r w:rsidRPr="001A650B">
        <w:rPr>
          <w:rFonts w:cstheme="minorHAnsi"/>
        </w:rPr>
        <w:t xml:space="preserve"> CP. Endovascular </w:t>
      </w:r>
      <w:proofErr w:type="spellStart"/>
      <w:r w:rsidRPr="001A650B">
        <w:rPr>
          <w:rFonts w:cstheme="minorHAnsi"/>
        </w:rPr>
        <w:t>Thrombectomy</w:t>
      </w:r>
      <w:proofErr w:type="spellEnd"/>
      <w:r w:rsidRPr="001A650B">
        <w:rPr>
          <w:rFonts w:cstheme="minorHAnsi"/>
        </w:rPr>
        <w:t xml:space="preserve"> for Anterior Circulation Stroke: Systematic Review and Meta-Analysis. Stroke; a journal of cerebral circulation. 2015.</w:t>
      </w:r>
    </w:p>
    <w:p w14:paraId="444DD41C" w14:textId="77777777" w:rsidR="00E55E54" w:rsidRPr="001A650B" w:rsidRDefault="00E55E54" w:rsidP="00E55E54">
      <w:pPr>
        <w:pStyle w:val="ListParagraph"/>
        <w:numPr>
          <w:ilvl w:val="0"/>
          <w:numId w:val="28"/>
        </w:numPr>
        <w:spacing w:after="160" w:line="259" w:lineRule="auto"/>
        <w:rPr>
          <w:rFonts w:cstheme="minorHAnsi"/>
        </w:rPr>
      </w:pPr>
      <w:r w:rsidRPr="001A650B">
        <w:rPr>
          <w:rFonts w:cstheme="minorHAnsi"/>
        </w:rPr>
        <w:t xml:space="preserve">Stout MJ, Conner SN, Colditz GA, </w:t>
      </w:r>
      <w:proofErr w:type="spellStart"/>
      <w:r w:rsidRPr="001A650B">
        <w:rPr>
          <w:rFonts w:cstheme="minorHAnsi"/>
        </w:rPr>
        <w:t>Macones</w:t>
      </w:r>
      <w:proofErr w:type="spellEnd"/>
      <w:r w:rsidRPr="001A650B">
        <w:rPr>
          <w:rFonts w:cstheme="minorHAnsi"/>
        </w:rPr>
        <w:t xml:space="preserve"> GA, Tuuli MG. The Utility of 12-Hour Urine Collection for the Diagnosis of Preeclampsia: A Systematic Review and Meta-analysis. Obstetrics and gynecology. 2015</w:t>
      </w:r>
      <w:proofErr w:type="gramStart"/>
      <w:r w:rsidRPr="001A650B">
        <w:rPr>
          <w:rFonts w:cstheme="minorHAnsi"/>
        </w:rPr>
        <w:t>;126</w:t>
      </w:r>
      <w:proofErr w:type="gramEnd"/>
      <w:r w:rsidRPr="001A650B">
        <w:rPr>
          <w:rFonts w:cstheme="minorHAnsi"/>
        </w:rPr>
        <w:t>(4):731-6.</w:t>
      </w:r>
    </w:p>
    <w:p w14:paraId="78CF1FA1" w14:textId="77777777" w:rsidR="00E55E54" w:rsidRPr="001A650B" w:rsidRDefault="00E55E54" w:rsidP="00E55E54">
      <w:pPr>
        <w:pStyle w:val="ListParagraph"/>
        <w:numPr>
          <w:ilvl w:val="0"/>
          <w:numId w:val="28"/>
        </w:numPr>
        <w:spacing w:after="160" w:line="259" w:lineRule="auto"/>
        <w:rPr>
          <w:rFonts w:cstheme="minorHAnsi"/>
        </w:rPr>
      </w:pPr>
      <w:r w:rsidRPr="001A650B">
        <w:rPr>
          <w:rFonts w:cstheme="minorHAnsi"/>
        </w:rPr>
        <w:t xml:space="preserve">Rowland KJ, </w:t>
      </w:r>
      <w:proofErr w:type="spellStart"/>
      <w:r w:rsidRPr="001A650B">
        <w:rPr>
          <w:rFonts w:cstheme="minorHAnsi"/>
        </w:rPr>
        <w:t>Jin</w:t>
      </w:r>
      <w:proofErr w:type="spellEnd"/>
      <w:r w:rsidRPr="001A650B">
        <w:rPr>
          <w:rFonts w:cstheme="minorHAnsi"/>
        </w:rPr>
        <w:t xml:space="preserve"> LX, </w:t>
      </w:r>
      <w:proofErr w:type="spellStart"/>
      <w:r w:rsidRPr="001A650B">
        <w:rPr>
          <w:rFonts w:cstheme="minorHAnsi"/>
        </w:rPr>
        <w:t>Moley</w:t>
      </w:r>
      <w:proofErr w:type="spellEnd"/>
      <w:r w:rsidRPr="001A650B">
        <w:rPr>
          <w:rFonts w:cstheme="minorHAnsi"/>
        </w:rPr>
        <w:t xml:space="preserve"> JF. Biochemical cure after reoperations for medullary thyroid carcinoma: a meta-analysis. Annals of surgical oncology. 2015</w:t>
      </w:r>
      <w:proofErr w:type="gramStart"/>
      <w:r w:rsidRPr="001A650B">
        <w:rPr>
          <w:rFonts w:cstheme="minorHAnsi"/>
        </w:rPr>
        <w:t>;22</w:t>
      </w:r>
      <w:proofErr w:type="gramEnd"/>
      <w:r w:rsidRPr="001A650B">
        <w:rPr>
          <w:rFonts w:cstheme="minorHAnsi"/>
        </w:rPr>
        <w:t>(1):96-102.</w:t>
      </w:r>
    </w:p>
    <w:p w14:paraId="3CFD69C3" w14:textId="77777777" w:rsidR="00E55E54" w:rsidRPr="001A650B" w:rsidRDefault="00E55E54" w:rsidP="00E55E54">
      <w:pPr>
        <w:pStyle w:val="ListParagraph"/>
        <w:numPr>
          <w:ilvl w:val="0"/>
          <w:numId w:val="28"/>
        </w:numPr>
        <w:spacing w:after="160" w:line="259" w:lineRule="auto"/>
        <w:rPr>
          <w:rFonts w:cstheme="minorHAnsi"/>
        </w:rPr>
      </w:pPr>
      <w:proofErr w:type="spellStart"/>
      <w:r w:rsidRPr="001A650B">
        <w:rPr>
          <w:rFonts w:cstheme="minorHAnsi"/>
        </w:rPr>
        <w:t>Rashidi</w:t>
      </w:r>
      <w:proofErr w:type="spellEnd"/>
      <w:r w:rsidRPr="001A650B">
        <w:rPr>
          <w:rFonts w:cstheme="minorHAnsi"/>
        </w:rPr>
        <w:t xml:space="preserve"> A, </w:t>
      </w:r>
      <w:proofErr w:type="spellStart"/>
      <w:r w:rsidRPr="001A650B">
        <w:rPr>
          <w:rFonts w:cstheme="minorHAnsi"/>
        </w:rPr>
        <w:t>Ebadi</w:t>
      </w:r>
      <w:proofErr w:type="spellEnd"/>
      <w:r w:rsidRPr="001A650B">
        <w:rPr>
          <w:rFonts w:cstheme="minorHAnsi"/>
        </w:rPr>
        <w:t xml:space="preserve"> M, Colditz GA, </w:t>
      </w:r>
      <w:proofErr w:type="spellStart"/>
      <w:r w:rsidRPr="001A650B">
        <w:rPr>
          <w:rFonts w:cstheme="minorHAnsi"/>
        </w:rPr>
        <w:t>DiPersio</w:t>
      </w:r>
      <w:proofErr w:type="spellEnd"/>
      <w:r w:rsidRPr="001A650B">
        <w:rPr>
          <w:rFonts w:cstheme="minorHAnsi"/>
        </w:rPr>
        <w:t xml:space="preserve"> JF. Outcomes of Allogeneic Stem Cell Transplantation in Elderly Patients with Acute Myeloid Leukemia: A Systematic Review and Meta-analysis. Biology of blood and marrow </w:t>
      </w:r>
      <w:proofErr w:type="gramStart"/>
      <w:r w:rsidRPr="001A650B">
        <w:rPr>
          <w:rFonts w:cstheme="minorHAnsi"/>
        </w:rPr>
        <w:t>transplantation :</w:t>
      </w:r>
      <w:proofErr w:type="gramEnd"/>
      <w:r w:rsidRPr="001A650B">
        <w:rPr>
          <w:rFonts w:cstheme="minorHAnsi"/>
        </w:rPr>
        <w:t xml:space="preserve"> journal of the American Society for Blood and Marrow Transplantation. 2015.</w:t>
      </w:r>
    </w:p>
    <w:p w14:paraId="60CF247F" w14:textId="77777777" w:rsidR="00E55E54" w:rsidRPr="001A650B" w:rsidRDefault="00E55E54" w:rsidP="00E55E54">
      <w:pPr>
        <w:pStyle w:val="ListParagraph"/>
        <w:numPr>
          <w:ilvl w:val="0"/>
          <w:numId w:val="28"/>
        </w:numPr>
        <w:spacing w:after="160" w:line="259" w:lineRule="auto"/>
        <w:rPr>
          <w:rFonts w:cstheme="minorHAnsi"/>
        </w:rPr>
      </w:pPr>
      <w:r w:rsidRPr="001A650B">
        <w:rPr>
          <w:rFonts w:cstheme="minorHAnsi"/>
        </w:rPr>
        <w:t xml:space="preserve">Levy PT, </w:t>
      </w:r>
      <w:proofErr w:type="spellStart"/>
      <w:r w:rsidRPr="001A650B">
        <w:rPr>
          <w:rFonts w:cstheme="minorHAnsi"/>
        </w:rPr>
        <w:t>Machefsky</w:t>
      </w:r>
      <w:proofErr w:type="spellEnd"/>
      <w:r w:rsidRPr="001A650B">
        <w:rPr>
          <w:rFonts w:cstheme="minorHAnsi"/>
        </w:rPr>
        <w:t xml:space="preserve"> A, Sanchez AA, Patel MD, </w:t>
      </w:r>
      <w:proofErr w:type="spellStart"/>
      <w:r w:rsidRPr="001A650B">
        <w:rPr>
          <w:rFonts w:cstheme="minorHAnsi"/>
        </w:rPr>
        <w:t>Rogal</w:t>
      </w:r>
      <w:proofErr w:type="spellEnd"/>
      <w:r w:rsidRPr="001A650B">
        <w:rPr>
          <w:rFonts w:cstheme="minorHAnsi"/>
        </w:rPr>
        <w:t xml:space="preserve"> S, Fowler S, et al. Reference Ranges of Left Ventricular Strain Measures by Two-Dimensional Speckle-Tracking Echocardiography in Children: A Systematic Review and Meta-Analysis. Journal of the American Society of Echocardiography. 2015.</w:t>
      </w:r>
    </w:p>
    <w:p w14:paraId="05B800FE" w14:textId="77777777" w:rsidR="00E55E54" w:rsidRPr="001A650B" w:rsidRDefault="00E55E54" w:rsidP="00E55E54">
      <w:pPr>
        <w:pStyle w:val="ListParagraph"/>
        <w:numPr>
          <w:ilvl w:val="0"/>
          <w:numId w:val="28"/>
        </w:numPr>
        <w:spacing w:after="160" w:line="259" w:lineRule="auto"/>
        <w:rPr>
          <w:rFonts w:cstheme="minorHAnsi"/>
        </w:rPr>
      </w:pPr>
      <w:r w:rsidRPr="001A650B">
        <w:rPr>
          <w:rFonts w:cstheme="minorHAnsi"/>
        </w:rPr>
        <w:t xml:space="preserve">Kumar G, </w:t>
      </w:r>
      <w:proofErr w:type="spellStart"/>
      <w:r w:rsidRPr="001A650B">
        <w:rPr>
          <w:rFonts w:cstheme="minorHAnsi"/>
        </w:rPr>
        <w:t>Uhrig</w:t>
      </w:r>
      <w:proofErr w:type="spellEnd"/>
      <w:r w:rsidRPr="001A650B">
        <w:rPr>
          <w:rFonts w:cstheme="minorHAnsi"/>
        </w:rPr>
        <w:t xml:space="preserve"> D, Fowler S, </w:t>
      </w:r>
      <w:proofErr w:type="spellStart"/>
      <w:r w:rsidRPr="001A650B">
        <w:rPr>
          <w:rFonts w:cstheme="minorHAnsi"/>
        </w:rPr>
        <w:t>DeLaney</w:t>
      </w:r>
      <w:proofErr w:type="spellEnd"/>
      <w:r w:rsidRPr="001A650B">
        <w:rPr>
          <w:rFonts w:cstheme="minorHAnsi"/>
        </w:rPr>
        <w:t xml:space="preserve"> MC, </w:t>
      </w:r>
      <w:proofErr w:type="spellStart"/>
      <w:r w:rsidRPr="001A650B">
        <w:rPr>
          <w:rFonts w:cstheme="minorHAnsi"/>
        </w:rPr>
        <w:t>Alexandrov</w:t>
      </w:r>
      <w:proofErr w:type="spellEnd"/>
      <w:r w:rsidRPr="001A650B">
        <w:rPr>
          <w:rFonts w:cstheme="minorHAnsi"/>
        </w:rPr>
        <w:t xml:space="preserve"> AV. Intravenous Recombinant Tissue Plasminogen Activator Does Not Impact Mortality in Acute Ischemic Stroke at Any Time Point up to 6 Months: A Systematic Review and Meta-Analysis of Randomized Controlled Clinical Trials. CNS drugs. 2015</w:t>
      </w:r>
      <w:proofErr w:type="gramStart"/>
      <w:r w:rsidRPr="001A650B">
        <w:rPr>
          <w:rFonts w:cstheme="minorHAnsi"/>
        </w:rPr>
        <w:t>;29</w:t>
      </w:r>
      <w:proofErr w:type="gramEnd"/>
      <w:r w:rsidRPr="001A650B">
        <w:rPr>
          <w:rFonts w:cstheme="minorHAnsi"/>
        </w:rPr>
        <w:t>(8):659-67.</w:t>
      </w:r>
    </w:p>
    <w:p w14:paraId="7F0AD67A" w14:textId="77777777" w:rsidR="00E55E54" w:rsidRPr="001A650B" w:rsidRDefault="00E55E54" w:rsidP="00E55E54">
      <w:pPr>
        <w:pStyle w:val="ListParagraph"/>
        <w:numPr>
          <w:ilvl w:val="0"/>
          <w:numId w:val="28"/>
        </w:numPr>
        <w:spacing w:after="160" w:line="259" w:lineRule="auto"/>
        <w:rPr>
          <w:rFonts w:cstheme="minorHAnsi"/>
        </w:rPr>
      </w:pPr>
      <w:r w:rsidRPr="001A650B">
        <w:rPr>
          <w:rFonts w:cstheme="minorHAnsi"/>
        </w:rPr>
        <w:t xml:space="preserve">Davis J, Sanford D, Schilling J, Hardi A, Colditz G. Systematic Review of Outcomes after Non-Cardiac Surgery in Patients with Implanted Left Ventricular Assist Devices. ASAIO journal (American Society for Artificial Internal </w:t>
      </w:r>
      <w:proofErr w:type="gramStart"/>
      <w:r w:rsidRPr="001A650B">
        <w:rPr>
          <w:rFonts w:cstheme="minorHAnsi"/>
        </w:rPr>
        <w:t>Organs :</w:t>
      </w:r>
      <w:proofErr w:type="gramEnd"/>
      <w:r w:rsidRPr="001A650B">
        <w:rPr>
          <w:rFonts w:cstheme="minorHAnsi"/>
        </w:rPr>
        <w:t xml:space="preserve"> 1992). 2015.</w:t>
      </w:r>
    </w:p>
    <w:p w14:paraId="5DD30E17" w14:textId="77777777" w:rsidR="00E55E54" w:rsidRPr="001A650B" w:rsidRDefault="00E55E54" w:rsidP="00E55E54">
      <w:pPr>
        <w:pStyle w:val="ListParagraph"/>
        <w:numPr>
          <w:ilvl w:val="0"/>
          <w:numId w:val="28"/>
        </w:numPr>
        <w:spacing w:after="160" w:line="259" w:lineRule="auto"/>
        <w:rPr>
          <w:rFonts w:cstheme="minorHAnsi"/>
        </w:rPr>
      </w:pPr>
      <w:r w:rsidRPr="001A650B">
        <w:rPr>
          <w:rFonts w:cstheme="minorHAnsi"/>
        </w:rPr>
        <w:t xml:space="preserve">Levy PT, Sanchez A, </w:t>
      </w:r>
      <w:proofErr w:type="spellStart"/>
      <w:r w:rsidRPr="001A650B">
        <w:rPr>
          <w:rFonts w:cstheme="minorHAnsi"/>
        </w:rPr>
        <w:t>Machefsky</w:t>
      </w:r>
      <w:proofErr w:type="spellEnd"/>
      <w:r w:rsidRPr="001A650B">
        <w:rPr>
          <w:rFonts w:cstheme="minorHAnsi"/>
        </w:rPr>
        <w:t xml:space="preserve"> A, Fowler S, Holland MR, Singh GK. Normal Ranges of Right Ventricular Systolic and Diastolic Strain Measures in Children: A Systematic Review and Meta-Analysis. Journal of the American Society of </w:t>
      </w:r>
      <w:proofErr w:type="gramStart"/>
      <w:r w:rsidRPr="001A650B">
        <w:rPr>
          <w:rFonts w:cstheme="minorHAnsi"/>
        </w:rPr>
        <w:t>Echocardiography :</w:t>
      </w:r>
      <w:proofErr w:type="gramEnd"/>
      <w:r w:rsidRPr="001A650B">
        <w:rPr>
          <w:rFonts w:cstheme="minorHAnsi"/>
        </w:rPr>
        <w:t xml:space="preserve"> official publication of the American Society of Echocardiography. 2014</w:t>
      </w:r>
      <w:proofErr w:type="gramStart"/>
      <w:r w:rsidRPr="001A650B">
        <w:rPr>
          <w:rFonts w:cstheme="minorHAnsi"/>
        </w:rPr>
        <w:t>;27</w:t>
      </w:r>
      <w:proofErr w:type="gramEnd"/>
      <w:r w:rsidRPr="001A650B">
        <w:rPr>
          <w:rFonts w:cstheme="minorHAnsi"/>
        </w:rPr>
        <w:t>(5):549-60.e3.</w:t>
      </w:r>
    </w:p>
    <w:p w14:paraId="04D0674B" w14:textId="77777777" w:rsidR="00E55E54" w:rsidRPr="001A650B" w:rsidRDefault="00E55E54" w:rsidP="00E55E54">
      <w:pPr>
        <w:pStyle w:val="ListParagraph"/>
        <w:numPr>
          <w:ilvl w:val="0"/>
          <w:numId w:val="28"/>
        </w:numPr>
        <w:spacing w:after="160" w:line="259" w:lineRule="auto"/>
        <w:rPr>
          <w:rFonts w:cstheme="minorHAnsi"/>
        </w:rPr>
      </w:pPr>
      <w:r w:rsidRPr="001A650B">
        <w:rPr>
          <w:rFonts w:cstheme="minorHAnsi"/>
        </w:rPr>
        <w:t xml:space="preserve">Kumar G, </w:t>
      </w:r>
      <w:proofErr w:type="spellStart"/>
      <w:r w:rsidRPr="001A650B">
        <w:rPr>
          <w:rFonts w:cstheme="minorHAnsi"/>
        </w:rPr>
        <w:t>Shahripour</w:t>
      </w:r>
      <w:proofErr w:type="spellEnd"/>
      <w:r w:rsidRPr="001A650B">
        <w:rPr>
          <w:rFonts w:cstheme="minorHAnsi"/>
        </w:rPr>
        <w:t xml:space="preserve"> RB, </w:t>
      </w:r>
      <w:proofErr w:type="spellStart"/>
      <w:r w:rsidRPr="001A650B">
        <w:rPr>
          <w:rFonts w:cstheme="minorHAnsi"/>
        </w:rPr>
        <w:t>Alexandrov</w:t>
      </w:r>
      <w:proofErr w:type="spellEnd"/>
      <w:r w:rsidRPr="001A650B">
        <w:rPr>
          <w:rFonts w:cstheme="minorHAnsi"/>
        </w:rPr>
        <w:t xml:space="preserve"> AV. Recanalization of acute basilar artery occlusion improves outcomes: a meta-analysis. Journal of </w:t>
      </w:r>
      <w:proofErr w:type="spellStart"/>
      <w:r w:rsidRPr="001A650B">
        <w:rPr>
          <w:rFonts w:cstheme="minorHAnsi"/>
        </w:rPr>
        <w:t>neurointerventional</w:t>
      </w:r>
      <w:proofErr w:type="spellEnd"/>
      <w:r w:rsidRPr="001A650B">
        <w:rPr>
          <w:rFonts w:cstheme="minorHAnsi"/>
        </w:rPr>
        <w:t xml:space="preserve"> surgery. 2014.</w:t>
      </w:r>
    </w:p>
    <w:p w14:paraId="4A17610B" w14:textId="77777777" w:rsidR="00E55E54" w:rsidRPr="001A650B" w:rsidRDefault="00E55E54" w:rsidP="00E55E54">
      <w:pPr>
        <w:pStyle w:val="ListParagraph"/>
        <w:numPr>
          <w:ilvl w:val="0"/>
          <w:numId w:val="28"/>
        </w:numPr>
        <w:spacing w:after="160" w:line="259" w:lineRule="auto"/>
        <w:rPr>
          <w:rFonts w:cstheme="minorHAnsi"/>
        </w:rPr>
      </w:pPr>
      <w:proofErr w:type="spellStart"/>
      <w:r w:rsidRPr="001A650B">
        <w:rPr>
          <w:rFonts w:cstheme="minorHAnsi"/>
        </w:rPr>
        <w:t>Fayanju</w:t>
      </w:r>
      <w:proofErr w:type="spellEnd"/>
      <w:r w:rsidRPr="001A650B">
        <w:rPr>
          <w:rFonts w:cstheme="minorHAnsi"/>
        </w:rPr>
        <w:t xml:space="preserve"> OM, Stoll CR, Fowler S, Colditz GA, </w:t>
      </w:r>
      <w:proofErr w:type="spellStart"/>
      <w:r w:rsidRPr="001A650B">
        <w:rPr>
          <w:rFonts w:cstheme="minorHAnsi"/>
        </w:rPr>
        <w:t>Margenthaler</w:t>
      </w:r>
      <w:proofErr w:type="spellEnd"/>
      <w:r w:rsidRPr="001A650B">
        <w:rPr>
          <w:rFonts w:cstheme="minorHAnsi"/>
        </w:rPr>
        <w:t xml:space="preserve"> JA. Contralateral prophylactic mastectomy after unilateral breast cancer: a systematic review and meta-analysis. Annals of surgery. 2014</w:t>
      </w:r>
      <w:proofErr w:type="gramStart"/>
      <w:r w:rsidRPr="001A650B">
        <w:rPr>
          <w:rFonts w:cstheme="minorHAnsi"/>
        </w:rPr>
        <w:t>;260</w:t>
      </w:r>
      <w:proofErr w:type="gramEnd"/>
      <w:r w:rsidRPr="001A650B">
        <w:rPr>
          <w:rFonts w:cstheme="minorHAnsi"/>
        </w:rPr>
        <w:t>(6):1000-10.</w:t>
      </w:r>
    </w:p>
    <w:p w14:paraId="7DF2B0B1" w14:textId="77777777" w:rsidR="00E55E54" w:rsidRPr="001A650B" w:rsidRDefault="00E55E54" w:rsidP="00E55E54">
      <w:pPr>
        <w:pStyle w:val="ListParagraph"/>
        <w:numPr>
          <w:ilvl w:val="0"/>
          <w:numId w:val="28"/>
        </w:numPr>
        <w:spacing w:after="160" w:line="259" w:lineRule="auto"/>
        <w:rPr>
          <w:rFonts w:cstheme="minorHAnsi"/>
        </w:rPr>
      </w:pPr>
      <w:r w:rsidRPr="001A650B">
        <w:rPr>
          <w:rFonts w:cstheme="minorHAnsi"/>
        </w:rPr>
        <w:t xml:space="preserve">Conner SN, Frey HA, Cahill AG, </w:t>
      </w:r>
      <w:proofErr w:type="spellStart"/>
      <w:r w:rsidRPr="001A650B">
        <w:rPr>
          <w:rFonts w:cstheme="minorHAnsi"/>
        </w:rPr>
        <w:t>Macones</w:t>
      </w:r>
      <w:proofErr w:type="spellEnd"/>
      <w:r w:rsidRPr="001A650B">
        <w:rPr>
          <w:rFonts w:cstheme="minorHAnsi"/>
        </w:rPr>
        <w:t xml:space="preserve"> GA, Colditz GA, Tuuli MG. Loop electrosurgical excision procedure and risk of preterm birth: a systematic review and meta-analysis. Obstetrics and gynecology. 2014</w:t>
      </w:r>
      <w:proofErr w:type="gramStart"/>
      <w:r w:rsidRPr="001A650B">
        <w:rPr>
          <w:rFonts w:cstheme="minorHAnsi"/>
        </w:rPr>
        <w:t>;123</w:t>
      </w:r>
      <w:proofErr w:type="gramEnd"/>
      <w:r w:rsidRPr="001A650B">
        <w:rPr>
          <w:rFonts w:cstheme="minorHAnsi"/>
        </w:rPr>
        <w:t>(4):752-61.</w:t>
      </w:r>
    </w:p>
    <w:p w14:paraId="6271845D" w14:textId="77777777" w:rsidR="00E55E54" w:rsidRPr="001A650B" w:rsidRDefault="00E55E54" w:rsidP="00E55E54">
      <w:pPr>
        <w:pStyle w:val="ListParagraph"/>
        <w:numPr>
          <w:ilvl w:val="0"/>
          <w:numId w:val="28"/>
        </w:numPr>
        <w:spacing w:after="160" w:line="259" w:lineRule="auto"/>
        <w:rPr>
          <w:rFonts w:cstheme="minorHAnsi"/>
        </w:rPr>
      </w:pPr>
      <w:proofErr w:type="spellStart"/>
      <w:r w:rsidRPr="001A650B">
        <w:rPr>
          <w:rFonts w:cstheme="minorHAnsi"/>
        </w:rPr>
        <w:t>Leinicke</w:t>
      </w:r>
      <w:proofErr w:type="spellEnd"/>
      <w:r w:rsidRPr="001A650B">
        <w:rPr>
          <w:rFonts w:cstheme="minorHAnsi"/>
        </w:rPr>
        <w:t xml:space="preserve"> JA, Elmore L, Freeman BD, Colditz GA. Operative management of rib fractures in the setting of flail chest: a systematic review and meta-analysis. Annals of surgery. 2013</w:t>
      </w:r>
      <w:proofErr w:type="gramStart"/>
      <w:r w:rsidRPr="001A650B">
        <w:rPr>
          <w:rFonts w:cstheme="minorHAnsi"/>
        </w:rPr>
        <w:t>;258</w:t>
      </w:r>
      <w:proofErr w:type="gramEnd"/>
      <w:r w:rsidRPr="001A650B">
        <w:rPr>
          <w:rFonts w:cstheme="minorHAnsi"/>
        </w:rPr>
        <w:t>(6):914-21.</w:t>
      </w:r>
    </w:p>
    <w:p w14:paraId="37EFCC9C" w14:textId="77777777" w:rsidR="00E55E54" w:rsidRPr="001A650B" w:rsidRDefault="00E55E54" w:rsidP="00E55E54">
      <w:pPr>
        <w:pStyle w:val="ListParagraph"/>
        <w:numPr>
          <w:ilvl w:val="0"/>
          <w:numId w:val="28"/>
        </w:numPr>
        <w:spacing w:after="160" w:line="259" w:lineRule="auto"/>
        <w:rPr>
          <w:rFonts w:cstheme="minorHAnsi"/>
        </w:rPr>
      </w:pPr>
      <w:r w:rsidRPr="001A650B">
        <w:rPr>
          <w:rFonts w:cstheme="minorHAnsi"/>
        </w:rPr>
        <w:t xml:space="preserve">Kumar G, </w:t>
      </w:r>
      <w:proofErr w:type="spellStart"/>
      <w:r w:rsidRPr="001A650B">
        <w:rPr>
          <w:rFonts w:cstheme="minorHAnsi"/>
        </w:rPr>
        <w:t>Goyal</w:t>
      </w:r>
      <w:proofErr w:type="spellEnd"/>
      <w:r w:rsidRPr="001A650B">
        <w:rPr>
          <w:rFonts w:cstheme="minorHAnsi"/>
        </w:rPr>
        <w:t xml:space="preserve"> MK. Warfarin versus aspirin for prevention of stroke in heart failure: a meta-analysis of randomized controlled clinical trials. Journal of stroke and cerebrovascular </w:t>
      </w:r>
      <w:proofErr w:type="gramStart"/>
      <w:r w:rsidRPr="001A650B">
        <w:rPr>
          <w:rFonts w:cstheme="minorHAnsi"/>
        </w:rPr>
        <w:t>diseases :</w:t>
      </w:r>
      <w:proofErr w:type="gramEnd"/>
      <w:r w:rsidRPr="001A650B">
        <w:rPr>
          <w:rFonts w:cstheme="minorHAnsi"/>
        </w:rPr>
        <w:t xml:space="preserve"> the official journal of National Stroke Association. 2013</w:t>
      </w:r>
      <w:proofErr w:type="gramStart"/>
      <w:r w:rsidRPr="001A650B">
        <w:rPr>
          <w:rFonts w:cstheme="minorHAnsi"/>
        </w:rPr>
        <w:t>;22</w:t>
      </w:r>
      <w:proofErr w:type="gramEnd"/>
      <w:r w:rsidRPr="001A650B">
        <w:rPr>
          <w:rFonts w:cstheme="minorHAnsi"/>
        </w:rPr>
        <w:t>(8):1279-87.</w:t>
      </w:r>
    </w:p>
    <w:p w14:paraId="05895AF0" w14:textId="77777777" w:rsidR="00E55E54" w:rsidRPr="001A650B" w:rsidRDefault="00E55E54" w:rsidP="00E55E54">
      <w:pPr>
        <w:pStyle w:val="ListParagraph"/>
        <w:numPr>
          <w:ilvl w:val="0"/>
          <w:numId w:val="28"/>
        </w:numPr>
        <w:spacing w:after="160" w:line="259" w:lineRule="auto"/>
        <w:rPr>
          <w:rFonts w:cstheme="minorHAnsi"/>
        </w:rPr>
      </w:pPr>
      <w:proofErr w:type="spellStart"/>
      <w:r w:rsidRPr="001A650B">
        <w:rPr>
          <w:rFonts w:cstheme="minorHAnsi"/>
        </w:rPr>
        <w:t>Jungheim</w:t>
      </w:r>
      <w:proofErr w:type="spellEnd"/>
      <w:r w:rsidRPr="001A650B">
        <w:rPr>
          <w:rFonts w:cstheme="minorHAnsi"/>
        </w:rPr>
        <w:t xml:space="preserve"> ES, </w:t>
      </w:r>
      <w:proofErr w:type="spellStart"/>
      <w:r w:rsidRPr="001A650B">
        <w:rPr>
          <w:rFonts w:cstheme="minorHAnsi"/>
        </w:rPr>
        <w:t>Schon</w:t>
      </w:r>
      <w:proofErr w:type="spellEnd"/>
      <w:r w:rsidRPr="001A650B">
        <w:rPr>
          <w:rFonts w:cstheme="minorHAnsi"/>
        </w:rPr>
        <w:t xml:space="preserve"> SB, Schulte MB, </w:t>
      </w:r>
      <w:proofErr w:type="spellStart"/>
      <w:r w:rsidRPr="001A650B">
        <w:rPr>
          <w:rFonts w:cstheme="minorHAnsi"/>
        </w:rPr>
        <w:t>DeUgarte</w:t>
      </w:r>
      <w:proofErr w:type="spellEnd"/>
      <w:r w:rsidRPr="001A650B">
        <w:rPr>
          <w:rFonts w:cstheme="minorHAnsi"/>
        </w:rPr>
        <w:t xml:space="preserve"> DA, Fowler SA, Tuuli MG. IVF outcomes in obese donor oocyte recipients: a systematic review and meta-analysis. Human reproduction (Oxford, England). 2013</w:t>
      </w:r>
      <w:proofErr w:type="gramStart"/>
      <w:r w:rsidRPr="001A650B">
        <w:rPr>
          <w:rFonts w:cstheme="minorHAnsi"/>
        </w:rPr>
        <w:t>;28</w:t>
      </w:r>
      <w:proofErr w:type="gramEnd"/>
      <w:r w:rsidRPr="001A650B">
        <w:rPr>
          <w:rFonts w:cstheme="minorHAnsi"/>
        </w:rPr>
        <w:t>(10):2720-7.</w:t>
      </w:r>
    </w:p>
    <w:p w14:paraId="017249A3" w14:textId="77777777" w:rsidR="00E55E54" w:rsidRPr="001A650B" w:rsidRDefault="00E55E54" w:rsidP="00E55E54">
      <w:pPr>
        <w:pStyle w:val="ListParagraph"/>
        <w:numPr>
          <w:ilvl w:val="0"/>
          <w:numId w:val="28"/>
        </w:numPr>
        <w:spacing w:after="160" w:line="259" w:lineRule="auto"/>
        <w:rPr>
          <w:rFonts w:cstheme="minorHAnsi"/>
        </w:rPr>
      </w:pPr>
      <w:r w:rsidRPr="001A650B">
        <w:rPr>
          <w:rFonts w:cstheme="minorHAnsi"/>
        </w:rPr>
        <w:lastRenderedPageBreak/>
        <w:t>Jim J, Caputo FJ, Sanchez LA. Intentional coverage of the celiac artery during thoracic endovascular aortic repair. Journal of vascular surgery. 2013</w:t>
      </w:r>
      <w:proofErr w:type="gramStart"/>
      <w:r w:rsidRPr="001A650B">
        <w:rPr>
          <w:rFonts w:cstheme="minorHAnsi"/>
        </w:rPr>
        <w:t>;58</w:t>
      </w:r>
      <w:proofErr w:type="gramEnd"/>
      <w:r w:rsidRPr="001A650B">
        <w:rPr>
          <w:rFonts w:cstheme="minorHAnsi"/>
        </w:rPr>
        <w:t>(1):270-5.</w:t>
      </w:r>
    </w:p>
    <w:p w14:paraId="187F9848" w14:textId="77777777" w:rsidR="00E55E54" w:rsidRPr="001A650B" w:rsidRDefault="00E55E54" w:rsidP="00E55E54">
      <w:pPr>
        <w:pStyle w:val="ListParagraph"/>
        <w:numPr>
          <w:ilvl w:val="0"/>
          <w:numId w:val="28"/>
        </w:numPr>
        <w:spacing w:after="160" w:line="259" w:lineRule="auto"/>
        <w:rPr>
          <w:rFonts w:cstheme="minorHAnsi"/>
        </w:rPr>
      </w:pPr>
      <w:proofErr w:type="spellStart"/>
      <w:r w:rsidRPr="001A650B">
        <w:rPr>
          <w:rFonts w:cstheme="minorHAnsi"/>
        </w:rPr>
        <w:t>Fayanju</w:t>
      </w:r>
      <w:proofErr w:type="spellEnd"/>
      <w:r w:rsidRPr="001A650B">
        <w:rPr>
          <w:rFonts w:cstheme="minorHAnsi"/>
        </w:rPr>
        <w:t xml:space="preserve"> OM, Stoll CR, Fowler S, Colditz GA, </w:t>
      </w:r>
      <w:proofErr w:type="spellStart"/>
      <w:r w:rsidRPr="001A650B">
        <w:rPr>
          <w:rFonts w:cstheme="minorHAnsi"/>
        </w:rPr>
        <w:t>Jeffe</w:t>
      </w:r>
      <w:proofErr w:type="spellEnd"/>
      <w:r w:rsidRPr="001A650B">
        <w:rPr>
          <w:rFonts w:cstheme="minorHAnsi"/>
        </w:rPr>
        <w:t xml:space="preserve"> DB, </w:t>
      </w:r>
      <w:proofErr w:type="spellStart"/>
      <w:r w:rsidRPr="001A650B">
        <w:rPr>
          <w:rFonts w:cstheme="minorHAnsi"/>
        </w:rPr>
        <w:t>Margenthaler</w:t>
      </w:r>
      <w:proofErr w:type="spellEnd"/>
      <w:r w:rsidRPr="001A650B">
        <w:rPr>
          <w:rFonts w:cstheme="minorHAnsi"/>
        </w:rPr>
        <w:t xml:space="preserve"> JA. Geographic and temporal trends in the management of occult primary breast cancer: a systematic review and meta-analysis. Annals of surgical oncology. 2013</w:t>
      </w:r>
      <w:proofErr w:type="gramStart"/>
      <w:r w:rsidRPr="001A650B">
        <w:rPr>
          <w:rFonts w:cstheme="minorHAnsi"/>
        </w:rPr>
        <w:t>;20</w:t>
      </w:r>
      <w:proofErr w:type="gramEnd"/>
      <w:r w:rsidRPr="001A650B">
        <w:rPr>
          <w:rFonts w:cstheme="minorHAnsi"/>
        </w:rPr>
        <w:t>(10):3308-16.</w:t>
      </w:r>
    </w:p>
    <w:p w14:paraId="7201C01F" w14:textId="77777777" w:rsidR="00E55E54" w:rsidRPr="001A650B" w:rsidRDefault="00E55E54" w:rsidP="00E55E54">
      <w:pPr>
        <w:pStyle w:val="ListParagraph"/>
        <w:numPr>
          <w:ilvl w:val="0"/>
          <w:numId w:val="28"/>
        </w:numPr>
        <w:spacing w:after="160" w:line="259" w:lineRule="auto"/>
        <w:rPr>
          <w:rFonts w:cstheme="minorHAnsi"/>
        </w:rPr>
      </w:pPr>
      <w:r w:rsidRPr="001A650B">
        <w:rPr>
          <w:rFonts w:cstheme="minorHAnsi"/>
        </w:rPr>
        <w:t xml:space="preserve">Tuuli MG, Frey HA, </w:t>
      </w:r>
      <w:proofErr w:type="spellStart"/>
      <w:r w:rsidRPr="001A650B">
        <w:rPr>
          <w:rFonts w:cstheme="minorHAnsi"/>
        </w:rPr>
        <w:t>Odibo</w:t>
      </w:r>
      <w:proofErr w:type="spellEnd"/>
      <w:r w:rsidRPr="001A650B">
        <w:rPr>
          <w:rFonts w:cstheme="minorHAnsi"/>
        </w:rPr>
        <w:t xml:space="preserve"> AO, </w:t>
      </w:r>
      <w:proofErr w:type="spellStart"/>
      <w:r w:rsidRPr="001A650B">
        <w:rPr>
          <w:rFonts w:cstheme="minorHAnsi"/>
        </w:rPr>
        <w:t>Macones</w:t>
      </w:r>
      <w:proofErr w:type="spellEnd"/>
      <w:r w:rsidRPr="001A650B">
        <w:rPr>
          <w:rFonts w:cstheme="minorHAnsi"/>
        </w:rPr>
        <w:t xml:space="preserve"> GA, Cahill AG. Immediate compared with delayed pushing in the second stage of labor: a systematic review and meta-analysis. Obstetrics and gynecology. 2012</w:t>
      </w:r>
      <w:proofErr w:type="gramStart"/>
      <w:r w:rsidRPr="001A650B">
        <w:rPr>
          <w:rFonts w:cstheme="minorHAnsi"/>
        </w:rPr>
        <w:t>;120</w:t>
      </w:r>
      <w:proofErr w:type="gramEnd"/>
      <w:r w:rsidRPr="001A650B">
        <w:rPr>
          <w:rFonts w:cstheme="minorHAnsi"/>
        </w:rPr>
        <w:t>(3):660-8.</w:t>
      </w:r>
    </w:p>
    <w:p w14:paraId="483452EB" w14:textId="77777777" w:rsidR="00E55E54" w:rsidRPr="001A650B" w:rsidRDefault="00E55E54" w:rsidP="00E55E54">
      <w:pPr>
        <w:pStyle w:val="ListParagraph"/>
        <w:numPr>
          <w:ilvl w:val="0"/>
          <w:numId w:val="28"/>
        </w:numPr>
        <w:spacing w:after="160" w:line="259" w:lineRule="auto"/>
        <w:rPr>
          <w:rFonts w:cstheme="minorHAnsi"/>
        </w:rPr>
      </w:pPr>
      <w:proofErr w:type="spellStart"/>
      <w:r w:rsidRPr="001A650B">
        <w:rPr>
          <w:rFonts w:cstheme="minorHAnsi"/>
        </w:rPr>
        <w:t>Rachakonda</w:t>
      </w:r>
      <w:proofErr w:type="spellEnd"/>
      <w:r w:rsidRPr="001A650B">
        <w:rPr>
          <w:rFonts w:cstheme="minorHAnsi"/>
        </w:rPr>
        <w:t xml:space="preserve"> T, Lieu JEC, Thorne MC. Quality of Life in Childhood Hearing Loss: Systematic Review. Otolaryngology -- Head and Neck Surgery. 2012</w:t>
      </w:r>
      <w:proofErr w:type="gramStart"/>
      <w:r w:rsidRPr="001A650B">
        <w:rPr>
          <w:rFonts w:cstheme="minorHAnsi"/>
        </w:rPr>
        <w:t>;147</w:t>
      </w:r>
      <w:proofErr w:type="gramEnd"/>
      <w:r w:rsidRPr="001A650B">
        <w:rPr>
          <w:rFonts w:cstheme="minorHAnsi"/>
        </w:rPr>
        <w:t xml:space="preserve">(2 </w:t>
      </w:r>
      <w:proofErr w:type="spellStart"/>
      <w:r w:rsidRPr="001A650B">
        <w:rPr>
          <w:rFonts w:cstheme="minorHAnsi"/>
        </w:rPr>
        <w:t>suppl</w:t>
      </w:r>
      <w:proofErr w:type="spellEnd"/>
      <w:r w:rsidRPr="001A650B">
        <w:rPr>
          <w:rFonts w:cstheme="minorHAnsi"/>
        </w:rPr>
        <w:t>):P235.</w:t>
      </w:r>
    </w:p>
    <w:p w14:paraId="1A5DE7F3" w14:textId="77777777" w:rsidR="00E55E54" w:rsidRPr="001A650B" w:rsidRDefault="00E55E54" w:rsidP="00E55E54">
      <w:pPr>
        <w:pStyle w:val="ListParagraph"/>
        <w:numPr>
          <w:ilvl w:val="0"/>
          <w:numId w:val="28"/>
        </w:numPr>
        <w:spacing w:after="160" w:line="259" w:lineRule="auto"/>
        <w:rPr>
          <w:rFonts w:cstheme="minorHAnsi"/>
        </w:rPr>
      </w:pPr>
      <w:proofErr w:type="spellStart"/>
      <w:r w:rsidRPr="001A650B">
        <w:rPr>
          <w:rFonts w:cstheme="minorHAnsi"/>
        </w:rPr>
        <w:t>Goetzinger</w:t>
      </w:r>
      <w:proofErr w:type="spellEnd"/>
      <w:r w:rsidRPr="001A650B">
        <w:rPr>
          <w:rFonts w:cstheme="minorHAnsi"/>
        </w:rPr>
        <w:t xml:space="preserve"> KR, Harper LM, Tuuli MG, </w:t>
      </w:r>
      <w:proofErr w:type="spellStart"/>
      <w:r w:rsidRPr="001A650B">
        <w:rPr>
          <w:rFonts w:cstheme="minorHAnsi"/>
        </w:rPr>
        <w:t>Macones</w:t>
      </w:r>
      <w:proofErr w:type="spellEnd"/>
      <w:r w:rsidRPr="001A650B">
        <w:rPr>
          <w:rFonts w:cstheme="minorHAnsi"/>
        </w:rPr>
        <w:t xml:space="preserve"> GA, Colditz GA. Effect of regional anesthesia on the success rate of external cephalic version: a systematic review and meta-analysis. Obstetrics and gynecology. 2011</w:t>
      </w:r>
      <w:proofErr w:type="gramStart"/>
      <w:r w:rsidRPr="001A650B">
        <w:rPr>
          <w:rFonts w:cstheme="minorHAnsi"/>
        </w:rPr>
        <w:t>;118</w:t>
      </w:r>
      <w:proofErr w:type="gramEnd"/>
      <w:r w:rsidRPr="001A650B">
        <w:rPr>
          <w:rFonts w:cstheme="minorHAnsi"/>
        </w:rPr>
        <w:t>(5):1137-44.</w:t>
      </w:r>
    </w:p>
    <w:p w14:paraId="1562D777" w14:textId="77777777" w:rsidR="00E55E54" w:rsidRPr="00F62A5F" w:rsidRDefault="00E55E54" w:rsidP="001D56DB">
      <w:pPr>
        <w:keepNext/>
        <w:tabs>
          <w:tab w:val="left" w:pos="360"/>
        </w:tabs>
        <w:autoSpaceDE w:val="0"/>
        <w:autoSpaceDN w:val="0"/>
        <w:adjustRightInd w:val="0"/>
        <w:spacing w:after="0" w:line="240" w:lineRule="auto"/>
        <w:rPr>
          <w:rFonts w:cstheme="minorHAnsi"/>
          <w:b/>
          <w:color w:val="000000"/>
          <w:u w:val="single"/>
        </w:rPr>
      </w:pPr>
    </w:p>
    <w:p w14:paraId="7E7590E8" w14:textId="21FE3E08" w:rsidR="00464C6B" w:rsidRPr="003F282D" w:rsidRDefault="00464C6B" w:rsidP="001D56DB">
      <w:pPr>
        <w:keepNext/>
        <w:tabs>
          <w:tab w:val="left" w:pos="360"/>
        </w:tabs>
        <w:autoSpaceDE w:val="0"/>
        <w:autoSpaceDN w:val="0"/>
        <w:adjustRightInd w:val="0"/>
        <w:spacing w:after="0" w:line="240" w:lineRule="auto"/>
        <w:rPr>
          <w:rFonts w:cstheme="minorHAnsi"/>
          <w:b/>
          <w:u w:val="single"/>
        </w:rPr>
      </w:pPr>
      <w:r w:rsidRPr="003F282D">
        <w:rPr>
          <w:rFonts w:cstheme="minorHAnsi"/>
          <w:b/>
          <w:u w:val="single"/>
        </w:rPr>
        <w:t>DROP DATES</w:t>
      </w:r>
    </w:p>
    <w:p w14:paraId="11C04180" w14:textId="295D5EEE" w:rsidR="000C214B" w:rsidRPr="003F282D" w:rsidRDefault="004F68DA" w:rsidP="00F62A5F">
      <w:pPr>
        <w:keepNext/>
        <w:tabs>
          <w:tab w:val="left" w:pos="360"/>
        </w:tabs>
        <w:autoSpaceDE w:val="0"/>
        <w:autoSpaceDN w:val="0"/>
        <w:adjustRightInd w:val="0"/>
        <w:spacing w:after="0" w:line="240" w:lineRule="auto"/>
        <w:rPr>
          <w:rFonts w:cstheme="minorHAnsi"/>
        </w:rPr>
      </w:pPr>
      <w:r w:rsidRPr="003F282D">
        <w:rPr>
          <w:rFonts w:cstheme="minorHAnsi"/>
        </w:rPr>
        <w:t xml:space="preserve">You may drop for any reason during the course of the semester. However, you may only receive a partial or no tuition reimbursement depending upon how far into the semester you drop the course. See the </w:t>
      </w:r>
      <w:hyperlink r:id="rId47" w:history="1">
        <w:r w:rsidR="001D56DB" w:rsidRPr="003F282D">
          <w:rPr>
            <w:rStyle w:val="Hyperlink"/>
            <w:rFonts w:cstheme="minorHAnsi"/>
          </w:rPr>
          <w:t>MPHS Student Handbook</w:t>
        </w:r>
      </w:hyperlink>
      <w:r w:rsidRPr="003F282D">
        <w:rPr>
          <w:rFonts w:cstheme="minorHAnsi"/>
        </w:rPr>
        <w:t xml:space="preserve">. Late withdrawals will appear on your transcript as a withdrawal. </w:t>
      </w:r>
    </w:p>
    <w:p w14:paraId="31F3DA4B" w14:textId="77777777" w:rsidR="00B15EB8" w:rsidRPr="003F282D" w:rsidRDefault="00B15EB8" w:rsidP="00691C37">
      <w:pPr>
        <w:keepNext/>
        <w:tabs>
          <w:tab w:val="left" w:pos="360"/>
        </w:tabs>
        <w:autoSpaceDE w:val="0"/>
        <w:autoSpaceDN w:val="0"/>
        <w:adjustRightInd w:val="0"/>
        <w:spacing w:after="0" w:line="240" w:lineRule="auto"/>
        <w:ind w:left="360"/>
        <w:rPr>
          <w:rFonts w:cstheme="minorHAnsi"/>
        </w:rPr>
      </w:pPr>
    </w:p>
    <w:p w14:paraId="478547D6" w14:textId="77777777" w:rsidR="00B15EB8" w:rsidRPr="003F282D" w:rsidRDefault="00B15EB8" w:rsidP="00F62A5F">
      <w:pPr>
        <w:rPr>
          <w:rStyle w:val="Heading2Char"/>
          <w:rFonts w:asciiTheme="minorHAnsi" w:hAnsiTheme="minorHAnsi" w:cstheme="minorHAnsi"/>
        </w:rPr>
      </w:pPr>
      <w:r w:rsidRPr="003F282D">
        <w:rPr>
          <w:rStyle w:val="Heading2Char"/>
          <w:rFonts w:asciiTheme="minorHAnsi" w:hAnsiTheme="minorHAnsi" w:cstheme="minorHAnsi"/>
        </w:rPr>
        <w:t>MPHS Academic Policy Guidelines:</w:t>
      </w:r>
    </w:p>
    <w:p w14:paraId="5F21C976" w14:textId="4224B129" w:rsidR="00B15EB8" w:rsidRPr="003F282D" w:rsidRDefault="00B15EB8" w:rsidP="00F62A5F">
      <w:pPr>
        <w:rPr>
          <w:rStyle w:val="Heading2Char"/>
          <w:rFonts w:asciiTheme="minorHAnsi" w:hAnsiTheme="minorHAnsi" w:cstheme="minorHAnsi"/>
          <w:b w:val="0"/>
          <w:bCs w:val="0"/>
        </w:rPr>
      </w:pPr>
      <w:r w:rsidRPr="003F282D">
        <w:rPr>
          <w:rStyle w:val="Heading2Char"/>
          <w:rFonts w:asciiTheme="minorHAnsi" w:hAnsiTheme="minorHAnsi" w:cstheme="minorHAnsi"/>
          <w:b w:val="0"/>
        </w:rPr>
        <w:t>Guidelines regarding MPHS course registration and enrollment, grades, tuition obligation, and academic leave are consolidated in the</w:t>
      </w:r>
      <w:r w:rsidRPr="003F282D">
        <w:rPr>
          <w:rStyle w:val="Hyperlink"/>
          <w:rFonts w:cstheme="minorHAnsi"/>
          <w:b/>
          <w:u w:val="none"/>
        </w:rPr>
        <w:t xml:space="preserve"> </w:t>
      </w:r>
      <w:hyperlink r:id="rId48" w:history="1">
        <w:r w:rsidRPr="003F282D">
          <w:rPr>
            <w:rStyle w:val="Hyperlink"/>
            <w:rFonts w:cstheme="minorHAnsi"/>
            <w:b/>
          </w:rPr>
          <w:t>MPHS Student Handbook</w:t>
        </w:r>
      </w:hyperlink>
      <w:r w:rsidRPr="003F282D">
        <w:rPr>
          <w:rStyle w:val="Heading2Char"/>
          <w:rFonts w:asciiTheme="minorHAnsi" w:hAnsiTheme="minorHAnsi" w:cstheme="minorHAnsi"/>
          <w:b w:val="0"/>
        </w:rPr>
        <w:t xml:space="preserve">. Please review this document. </w:t>
      </w:r>
    </w:p>
    <w:p w14:paraId="1A942550" w14:textId="77777777" w:rsidR="00B15EB8" w:rsidRPr="003F282D" w:rsidRDefault="00B15EB8" w:rsidP="00F62A5F">
      <w:pPr>
        <w:rPr>
          <w:rStyle w:val="Heading2Char"/>
          <w:rFonts w:asciiTheme="minorHAnsi" w:hAnsiTheme="minorHAnsi" w:cstheme="minorHAnsi"/>
        </w:rPr>
      </w:pPr>
      <w:r w:rsidRPr="003F282D">
        <w:rPr>
          <w:rStyle w:val="Heading2Char"/>
          <w:rFonts w:asciiTheme="minorHAnsi" w:hAnsiTheme="minorHAnsi" w:cstheme="minorHAnsi"/>
        </w:rPr>
        <w:t>MPHS Guidelines for Academic and Non-Academic Transgressions:</w:t>
      </w:r>
    </w:p>
    <w:p w14:paraId="76C45254" w14:textId="28B01F51" w:rsidR="00B15EB8" w:rsidRPr="003F282D" w:rsidRDefault="00B15EB8" w:rsidP="00F62A5F">
      <w:pPr>
        <w:rPr>
          <w:rFonts w:eastAsia="Calibri" w:cstheme="minorHAnsi"/>
          <w:b/>
        </w:rPr>
      </w:pPr>
      <w:r w:rsidRPr="003F282D">
        <w:rPr>
          <w:rStyle w:val="Heading2Char"/>
          <w:rFonts w:asciiTheme="minorHAnsi" w:hAnsiTheme="minorHAnsi" w:cstheme="minorHAnsi"/>
          <w:b w:val="0"/>
        </w:rPr>
        <w:t xml:space="preserve">By registering for this course you have agreed to the terms of the </w:t>
      </w:r>
      <w:r w:rsidRPr="003F282D">
        <w:rPr>
          <w:rStyle w:val="Hyperlink"/>
          <w:rFonts w:cstheme="minorHAnsi"/>
          <w:b/>
          <w:bCs/>
          <w:color w:val="auto"/>
          <w:u w:val="none"/>
        </w:rPr>
        <w:t xml:space="preserve">MPHS Academic Integrity Policy, outlined below and in more detail in the </w:t>
      </w:r>
      <w:r w:rsidRPr="003F282D">
        <w:rPr>
          <w:rStyle w:val="Hyperlink"/>
          <w:rFonts w:cstheme="minorHAnsi"/>
          <w:b/>
        </w:rPr>
        <w:t>MPHS Student Handbook</w:t>
      </w:r>
      <w:r w:rsidRPr="003F282D">
        <w:rPr>
          <w:rStyle w:val="Heading2Char"/>
          <w:rFonts w:asciiTheme="minorHAnsi" w:hAnsiTheme="minorHAnsi" w:cstheme="minorHAnsi"/>
          <w:b w:val="0"/>
          <w:bCs w:val="0"/>
        </w:rPr>
        <w:t>.</w:t>
      </w:r>
      <w:r w:rsidRPr="003F282D">
        <w:rPr>
          <w:rStyle w:val="Heading2Char"/>
          <w:rFonts w:asciiTheme="minorHAnsi" w:hAnsiTheme="minorHAnsi" w:cstheme="minorHAnsi"/>
          <w:b w:val="0"/>
        </w:rPr>
        <w:t xml:space="preserve"> Please review this policy before submitting your first graded assignment.</w:t>
      </w:r>
    </w:p>
    <w:p w14:paraId="6497455E" w14:textId="77777777" w:rsidR="00B15EB8" w:rsidRPr="003F282D" w:rsidRDefault="00B15EB8" w:rsidP="00F62A5F">
      <w:pPr>
        <w:pStyle w:val="Heading2"/>
        <w:ind w:left="0"/>
        <w:rPr>
          <w:rFonts w:asciiTheme="minorHAnsi" w:eastAsia="Times New Roman" w:hAnsiTheme="minorHAnsi" w:cstheme="minorHAnsi"/>
        </w:rPr>
      </w:pPr>
      <w:r w:rsidRPr="003F282D">
        <w:rPr>
          <w:rFonts w:asciiTheme="minorHAnsi" w:eastAsia="Times New Roman" w:hAnsiTheme="minorHAnsi" w:cstheme="minorHAnsi"/>
        </w:rPr>
        <w:t>Academic Integrity/Plagiarism Policy:</w:t>
      </w:r>
    </w:p>
    <w:p w14:paraId="1A4D13DF" w14:textId="77777777" w:rsidR="00B15EB8" w:rsidRPr="003F282D" w:rsidRDefault="00B15EB8" w:rsidP="00B15EB8">
      <w:pPr>
        <w:pStyle w:val="ListParagraph"/>
        <w:numPr>
          <w:ilvl w:val="0"/>
          <w:numId w:val="24"/>
        </w:numPr>
        <w:autoSpaceDE w:val="0"/>
        <w:autoSpaceDN w:val="0"/>
        <w:spacing w:after="0" w:line="240" w:lineRule="auto"/>
        <w:ind w:left="720"/>
        <w:contextualSpacing w:val="0"/>
        <w:rPr>
          <w:rFonts w:cstheme="minorHAnsi"/>
          <w:color w:val="000000"/>
        </w:rPr>
      </w:pPr>
      <w:r w:rsidRPr="003F282D">
        <w:rPr>
          <w:rFonts w:cstheme="minorHAnsi"/>
          <w:color w:val="000000"/>
        </w:rPr>
        <w:t xml:space="preserve">Academic dishonesty is a serious offense that may lead to probation, suspension, or </w:t>
      </w:r>
      <w:r w:rsidRPr="003F282D">
        <w:rPr>
          <w:rFonts w:cstheme="minorHAnsi"/>
        </w:rPr>
        <w:t>dismissal from the University</w:t>
      </w:r>
      <w:r w:rsidRPr="003F282D">
        <w:rPr>
          <w:rFonts w:cstheme="minorHAnsi"/>
          <w:color w:val="000000"/>
        </w:rPr>
        <w:t xml:space="preserve">. Academic dishonesty includes plagiarism (the use of someone else’s ideas, statements, or approaches without proper citation). Academic dishonesty also includes copying information from another student, submitting work from a previous class for a new grade without prior approval from your instructor, cheating on exams, etc. You are responsible for reviewing </w:t>
      </w:r>
      <w:hyperlink r:id="rId49" w:history="1">
        <w:proofErr w:type="spellStart"/>
        <w:r w:rsidRPr="003F282D">
          <w:rPr>
            <w:rStyle w:val="Hyperlink"/>
            <w:rFonts w:cstheme="minorHAnsi"/>
          </w:rPr>
          <w:t>WashU’s</w:t>
        </w:r>
        <w:proofErr w:type="spellEnd"/>
        <w:r w:rsidRPr="003F282D">
          <w:rPr>
            <w:rStyle w:val="Hyperlink"/>
            <w:rFonts w:cstheme="minorHAnsi"/>
          </w:rPr>
          <w:t xml:space="preserve"> academic integrity resources</w:t>
        </w:r>
      </w:hyperlink>
      <w:r w:rsidRPr="003F282D">
        <w:rPr>
          <w:rFonts w:cstheme="minorHAnsi"/>
          <w:color w:val="000000"/>
        </w:rPr>
        <w:t xml:space="preserve"> to become aware of all the actions that constitute academic dishonesty.</w:t>
      </w:r>
    </w:p>
    <w:p w14:paraId="730A2DF5" w14:textId="728861A0" w:rsidR="00B15EB8" w:rsidRPr="003F282D" w:rsidRDefault="00B15EB8" w:rsidP="00B15EB8">
      <w:pPr>
        <w:pStyle w:val="ListParagraph"/>
        <w:numPr>
          <w:ilvl w:val="0"/>
          <w:numId w:val="24"/>
        </w:numPr>
        <w:autoSpaceDE w:val="0"/>
        <w:autoSpaceDN w:val="0"/>
        <w:spacing w:after="0" w:line="240" w:lineRule="auto"/>
        <w:ind w:left="720"/>
        <w:contextualSpacing w:val="0"/>
        <w:rPr>
          <w:rFonts w:cstheme="minorHAnsi"/>
          <w:color w:val="000000"/>
        </w:rPr>
      </w:pPr>
      <w:r w:rsidRPr="003F282D">
        <w:rPr>
          <w:rFonts w:cstheme="minorHAnsi"/>
          <w:color w:val="000000"/>
        </w:rPr>
        <w:t xml:space="preserve">All instances of academic dishonesty will be reported to the Office of the Registrar for investigation and potential disciplinary action. In addition, the instructor will make an independent decision about the student’s grade on any assignment in question. The MPHS process regarding academic dishonesty is described in the </w:t>
      </w:r>
      <w:hyperlink r:id="rId50" w:history="1">
        <w:r w:rsidRPr="003F282D">
          <w:rPr>
            <w:rStyle w:val="Hyperlink"/>
            <w:rFonts w:cstheme="minorHAnsi"/>
          </w:rPr>
          <w:t>MPHS Student Handbook</w:t>
        </w:r>
      </w:hyperlink>
    </w:p>
    <w:p w14:paraId="111A031D" w14:textId="77777777" w:rsidR="000C214B" w:rsidRPr="003F282D" w:rsidRDefault="000C214B" w:rsidP="00691C37">
      <w:pPr>
        <w:keepNext/>
        <w:tabs>
          <w:tab w:val="left" w:pos="360"/>
        </w:tabs>
        <w:autoSpaceDE w:val="0"/>
        <w:autoSpaceDN w:val="0"/>
        <w:adjustRightInd w:val="0"/>
        <w:spacing w:after="0" w:line="240" w:lineRule="auto"/>
        <w:ind w:left="360"/>
        <w:rPr>
          <w:rFonts w:cstheme="minorHAnsi"/>
        </w:rPr>
      </w:pPr>
    </w:p>
    <w:p w14:paraId="02DC7B42" w14:textId="2774170F" w:rsidR="004F68DA" w:rsidRPr="003F282D" w:rsidRDefault="00464C6B" w:rsidP="00F62A5F">
      <w:pPr>
        <w:keepNext/>
        <w:tabs>
          <w:tab w:val="left" w:pos="360"/>
        </w:tabs>
        <w:autoSpaceDE w:val="0"/>
        <w:autoSpaceDN w:val="0"/>
        <w:adjustRightInd w:val="0"/>
        <w:spacing w:after="0" w:line="240" w:lineRule="auto"/>
        <w:rPr>
          <w:rFonts w:cstheme="minorHAnsi"/>
          <w:b/>
          <w:u w:val="single"/>
        </w:rPr>
      </w:pPr>
      <w:r w:rsidRPr="003F282D">
        <w:rPr>
          <w:rFonts w:cstheme="minorHAnsi"/>
          <w:b/>
          <w:u w:val="single"/>
        </w:rPr>
        <w:t>DISABILITY RESOURCES</w:t>
      </w:r>
    </w:p>
    <w:p w14:paraId="5F714062" w14:textId="77777777" w:rsidR="004F68DA" w:rsidRPr="003F282D" w:rsidRDefault="004F68DA" w:rsidP="00F62A5F">
      <w:pPr>
        <w:pStyle w:val="NormalWeb"/>
        <w:tabs>
          <w:tab w:val="left" w:pos="360"/>
        </w:tabs>
        <w:spacing w:before="0" w:beforeAutospacing="0" w:after="0" w:afterAutospacing="0"/>
        <w:ind w:left="0"/>
        <w:textAlignment w:val="baseline"/>
        <w:rPr>
          <w:rFonts w:asciiTheme="minorHAnsi" w:hAnsiTheme="minorHAnsi" w:cstheme="minorHAnsi"/>
          <w:sz w:val="22"/>
          <w:szCs w:val="22"/>
        </w:rPr>
      </w:pPr>
      <w:r w:rsidRPr="003F282D">
        <w:rPr>
          <w:rFonts w:asciiTheme="minorHAnsi" w:hAnsiTheme="minorHAnsi" w:cstheme="minorHAnsi"/>
          <w:sz w:val="22"/>
          <w:szCs w:val="22"/>
        </w:rPr>
        <w:t>It is the goal of Washington University to assist students with disabilities in removing the barriers their disabilities may pose and provide support in facing the challenge of pursuing an education at Washington University.</w:t>
      </w:r>
    </w:p>
    <w:p w14:paraId="16BFCC4B" w14:textId="77777777" w:rsidR="004F68DA" w:rsidRPr="003F282D" w:rsidRDefault="004F68DA" w:rsidP="00691C37">
      <w:pPr>
        <w:pStyle w:val="NormalWeb"/>
        <w:spacing w:before="0" w:beforeAutospacing="0" w:after="0" w:afterAutospacing="0"/>
        <w:ind w:left="-1152"/>
        <w:textAlignment w:val="baseline"/>
        <w:rPr>
          <w:rFonts w:asciiTheme="minorHAnsi" w:hAnsiTheme="minorHAnsi" w:cstheme="minorHAnsi"/>
          <w:sz w:val="22"/>
          <w:szCs w:val="22"/>
        </w:rPr>
      </w:pPr>
    </w:p>
    <w:p w14:paraId="570D17CF" w14:textId="77777777" w:rsidR="004F68DA" w:rsidRPr="003F282D" w:rsidRDefault="004F68DA" w:rsidP="00F62A5F">
      <w:pPr>
        <w:pStyle w:val="NormalWeb"/>
        <w:spacing w:before="0" w:beforeAutospacing="0" w:after="0" w:afterAutospacing="0"/>
        <w:ind w:left="0"/>
        <w:textAlignment w:val="baseline"/>
        <w:rPr>
          <w:rFonts w:asciiTheme="minorHAnsi" w:hAnsiTheme="minorHAnsi" w:cstheme="minorHAnsi"/>
          <w:sz w:val="22"/>
          <w:szCs w:val="22"/>
        </w:rPr>
      </w:pPr>
      <w:r w:rsidRPr="003F282D">
        <w:rPr>
          <w:rFonts w:asciiTheme="minorHAnsi" w:hAnsiTheme="minorHAnsi" w:cstheme="minorHAnsi"/>
          <w:sz w:val="22"/>
          <w:szCs w:val="22"/>
        </w:rPr>
        <w:lastRenderedPageBreak/>
        <w:t>Washington University recognizes and accepts its professional, legal and moral responsibility to avoid discrimination in the acceptance and education of qualified students with disabilities and to provide reasonable accommodations to such students consistent with the principles embodied in the law. These guidelines apply to students seeking admittance as well as to those who become disabled while they are enrolled.</w:t>
      </w:r>
    </w:p>
    <w:p w14:paraId="51131D6C" w14:textId="77777777" w:rsidR="002144EE" w:rsidRPr="003F282D" w:rsidRDefault="002144EE" w:rsidP="00464C6B">
      <w:pPr>
        <w:pStyle w:val="NormalWeb"/>
        <w:spacing w:before="0" w:beforeAutospacing="0" w:after="0" w:afterAutospacing="0"/>
        <w:textAlignment w:val="baseline"/>
        <w:rPr>
          <w:rFonts w:asciiTheme="minorHAnsi" w:hAnsiTheme="minorHAnsi" w:cstheme="minorHAnsi"/>
          <w:sz w:val="22"/>
          <w:szCs w:val="22"/>
        </w:rPr>
      </w:pPr>
    </w:p>
    <w:p w14:paraId="2D3456F3" w14:textId="77777777" w:rsidR="004F68DA" w:rsidRPr="003F282D" w:rsidRDefault="004F68DA" w:rsidP="00F62A5F">
      <w:pPr>
        <w:pStyle w:val="NormalWeb"/>
        <w:spacing w:before="0" w:beforeAutospacing="0" w:after="0" w:afterAutospacing="0"/>
        <w:ind w:left="0"/>
        <w:textAlignment w:val="baseline"/>
        <w:rPr>
          <w:rFonts w:asciiTheme="minorHAnsi" w:hAnsiTheme="minorHAnsi" w:cstheme="minorHAnsi"/>
          <w:sz w:val="22"/>
          <w:szCs w:val="22"/>
        </w:rPr>
      </w:pPr>
      <w:r w:rsidRPr="003F282D">
        <w:rPr>
          <w:rFonts w:asciiTheme="minorHAnsi" w:hAnsiTheme="minorHAnsi" w:cstheme="minorHAnsi"/>
          <w:sz w:val="22"/>
          <w:szCs w:val="22"/>
        </w:rPr>
        <w:t>Washington University makes every effort to insure that all qualified applicants and students can participate in and take full advantage of all programs and opportunities offered within the university. Washington University encourages and gives full consideration to all applicants for admission. Washington University does not discriminate in access to its programs and activities on the basis of age, sex, sexual orientation, race, disability, religion, color or national origin.</w:t>
      </w:r>
    </w:p>
    <w:p w14:paraId="4BF86139" w14:textId="77777777" w:rsidR="004F68DA" w:rsidRPr="003F282D" w:rsidRDefault="004F68DA" w:rsidP="00464C6B">
      <w:pPr>
        <w:pStyle w:val="NormalWeb"/>
        <w:spacing w:before="0" w:beforeAutospacing="0" w:after="0" w:afterAutospacing="0"/>
        <w:textAlignment w:val="baseline"/>
        <w:rPr>
          <w:rFonts w:asciiTheme="minorHAnsi" w:hAnsiTheme="minorHAnsi" w:cstheme="minorHAnsi"/>
          <w:sz w:val="22"/>
          <w:szCs w:val="22"/>
        </w:rPr>
      </w:pPr>
    </w:p>
    <w:p w14:paraId="03A5466E" w14:textId="54A24C69" w:rsidR="004F68DA" w:rsidRPr="003F282D" w:rsidRDefault="004F68DA" w:rsidP="00F62A5F">
      <w:pPr>
        <w:pStyle w:val="Default"/>
        <w:rPr>
          <w:rFonts w:asciiTheme="minorHAnsi" w:hAnsiTheme="minorHAnsi" w:cstheme="minorHAnsi"/>
          <w:color w:val="auto"/>
          <w:sz w:val="22"/>
          <w:szCs w:val="22"/>
        </w:rPr>
      </w:pPr>
      <w:r w:rsidRPr="003F282D">
        <w:rPr>
          <w:rFonts w:asciiTheme="minorHAnsi" w:hAnsiTheme="minorHAnsi" w:cstheme="minorHAnsi"/>
          <w:color w:val="auto"/>
          <w:sz w:val="22"/>
          <w:szCs w:val="22"/>
        </w:rPr>
        <w:t xml:space="preserve">To learn more about services provided to students with disabilities, initiate the process of formal documentation and/or to arrange for accommodations, please review the </w:t>
      </w:r>
      <w:hyperlink r:id="rId51" w:anchor="Disabilities" w:history="1">
        <w:r w:rsidRPr="003F282D">
          <w:rPr>
            <w:rStyle w:val="Hyperlink"/>
            <w:rFonts w:asciiTheme="minorHAnsi" w:hAnsiTheme="minorHAnsi" w:cstheme="minorHAnsi"/>
            <w:sz w:val="22"/>
            <w:szCs w:val="22"/>
          </w:rPr>
          <w:t>Disability Resources</w:t>
        </w:r>
      </w:hyperlink>
      <w:r w:rsidRPr="003F282D">
        <w:rPr>
          <w:rFonts w:asciiTheme="minorHAnsi" w:hAnsiTheme="minorHAnsi" w:cstheme="minorHAnsi"/>
          <w:color w:val="auto"/>
          <w:sz w:val="22"/>
          <w:szCs w:val="22"/>
        </w:rPr>
        <w:t xml:space="preserve"> for the Med School at the start of the course.</w:t>
      </w:r>
    </w:p>
    <w:p w14:paraId="2EC3AD64" w14:textId="77777777" w:rsidR="002144EE" w:rsidRPr="003F282D" w:rsidRDefault="002144EE" w:rsidP="00464C6B">
      <w:pPr>
        <w:spacing w:after="0" w:line="240" w:lineRule="auto"/>
        <w:ind w:left="360"/>
        <w:rPr>
          <w:rFonts w:cstheme="minorHAnsi"/>
          <w:b/>
          <w:u w:val="single"/>
        </w:rPr>
      </w:pPr>
    </w:p>
    <w:p w14:paraId="768BAD2B" w14:textId="281DC2DC" w:rsidR="004F68DA" w:rsidRPr="003F282D" w:rsidRDefault="00464C6B" w:rsidP="00F62A5F">
      <w:pPr>
        <w:spacing w:after="0" w:line="240" w:lineRule="auto"/>
        <w:rPr>
          <w:rFonts w:cstheme="minorHAnsi"/>
          <w:b/>
          <w:u w:val="single"/>
        </w:rPr>
      </w:pPr>
      <w:r w:rsidRPr="003F282D">
        <w:rPr>
          <w:rFonts w:cstheme="minorHAnsi"/>
          <w:b/>
          <w:u w:val="single"/>
        </w:rPr>
        <w:t>MENTAL HEALTH RESOURCES</w:t>
      </w:r>
    </w:p>
    <w:p w14:paraId="677F4833" w14:textId="77777777" w:rsidR="004F68DA" w:rsidRPr="003F282D" w:rsidRDefault="004F68DA" w:rsidP="00F62A5F">
      <w:pPr>
        <w:spacing w:after="0" w:line="240" w:lineRule="auto"/>
        <w:rPr>
          <w:rFonts w:cstheme="minorHAnsi"/>
        </w:rPr>
      </w:pPr>
      <w:r w:rsidRPr="003F282D">
        <w:rPr>
          <w:rFonts w:cstheme="minorHAnsi"/>
        </w:rPr>
        <w:t xml:space="preserve">Mental Health Services’ professional staff members work with students to resolve personal and interpersonal difficulties, many of which can affect the academic experience. These include conflicts with or worry about friends or family, concerns about eating or drinking patterns, and feelings of anxiety and depression.  See:  </w:t>
      </w:r>
      <w:hyperlink r:id="rId52" w:history="1">
        <w:r w:rsidRPr="003F282D">
          <w:rPr>
            <w:rStyle w:val="Hyperlink"/>
            <w:rFonts w:cstheme="minorHAnsi"/>
          </w:rPr>
          <w:t>shs.wustl.edu/</w:t>
        </w:r>
        <w:proofErr w:type="spellStart"/>
        <w:r w:rsidRPr="003F282D">
          <w:rPr>
            <w:rStyle w:val="Hyperlink"/>
            <w:rFonts w:cstheme="minorHAnsi"/>
          </w:rPr>
          <w:t>MentalHealth</w:t>
        </w:r>
        <w:proofErr w:type="spellEnd"/>
      </w:hyperlink>
      <w:r w:rsidRPr="003F282D">
        <w:rPr>
          <w:rFonts w:cstheme="minorHAnsi"/>
        </w:rPr>
        <w:t xml:space="preserve">. </w:t>
      </w:r>
    </w:p>
    <w:p w14:paraId="1901B6DA" w14:textId="77777777" w:rsidR="004F68DA" w:rsidRPr="003F282D" w:rsidRDefault="004F68DA" w:rsidP="00464C6B">
      <w:pPr>
        <w:spacing w:after="0" w:line="240" w:lineRule="auto"/>
        <w:ind w:left="360"/>
        <w:rPr>
          <w:rFonts w:cstheme="minorHAnsi"/>
        </w:rPr>
      </w:pPr>
    </w:p>
    <w:p w14:paraId="71D0995E" w14:textId="75C2318A" w:rsidR="004F68DA" w:rsidRPr="003F282D" w:rsidRDefault="004F68DA" w:rsidP="00F62A5F">
      <w:pPr>
        <w:spacing w:after="0" w:line="240" w:lineRule="auto"/>
        <w:rPr>
          <w:rFonts w:cstheme="minorHAnsi"/>
          <w:b/>
          <w:caps/>
          <w:u w:val="single"/>
        </w:rPr>
      </w:pPr>
      <w:r w:rsidRPr="003F282D">
        <w:rPr>
          <w:rFonts w:cstheme="minorHAnsi"/>
          <w:b/>
          <w:caps/>
          <w:u w:val="single"/>
        </w:rPr>
        <w:t xml:space="preserve">Sexual </w:t>
      </w:r>
      <w:r w:rsidR="00464C6B" w:rsidRPr="003F282D">
        <w:rPr>
          <w:rFonts w:cstheme="minorHAnsi"/>
          <w:b/>
          <w:caps/>
          <w:u w:val="single"/>
        </w:rPr>
        <w:t>Assault Resources</w:t>
      </w:r>
    </w:p>
    <w:p w14:paraId="6A98929F" w14:textId="77777777" w:rsidR="004F68DA" w:rsidRPr="003F282D" w:rsidRDefault="004F68DA" w:rsidP="00F62A5F">
      <w:pPr>
        <w:spacing w:after="0" w:line="240" w:lineRule="auto"/>
        <w:rPr>
          <w:rFonts w:cstheme="minorHAnsi"/>
        </w:rPr>
      </w:pPr>
      <w:r w:rsidRPr="003F282D">
        <w:rPr>
          <w:rFonts w:cstheme="minorHAnsi"/>
        </w:rPr>
        <w:t xml:space="preserve">You can also speak confidentially and learn about available resources by contacting </w:t>
      </w:r>
      <w:hyperlink r:id="rId53" w:history="1">
        <w:r w:rsidRPr="003F282D">
          <w:rPr>
            <w:rStyle w:val="Hyperlink"/>
            <w:rFonts w:cstheme="minorHAnsi"/>
          </w:rPr>
          <w:t>Dr. Gladys Smith, PhD</w:t>
        </w:r>
      </w:hyperlink>
      <w:r w:rsidRPr="003F282D">
        <w:rPr>
          <w:rFonts w:cstheme="minorHAnsi"/>
        </w:rPr>
        <w:t>, Sexual Violence Prevention Therapist and Licensed Psychologist at the Medical Campus, (314) 362-2404.  Additionally, you can report incidents to the Office of Student Affairs or by contacting WUSM Protective Services 314-362-4357 or your local law enforcement agency.</w:t>
      </w:r>
    </w:p>
    <w:p w14:paraId="7A3DD81E" w14:textId="77777777" w:rsidR="004F68DA" w:rsidRPr="003F282D" w:rsidRDefault="004F68DA" w:rsidP="00464C6B">
      <w:pPr>
        <w:spacing w:after="0" w:line="240" w:lineRule="auto"/>
        <w:ind w:left="360"/>
        <w:rPr>
          <w:rFonts w:cstheme="minorHAnsi"/>
        </w:rPr>
      </w:pPr>
    </w:p>
    <w:p w14:paraId="3198E87E" w14:textId="2F8D063F" w:rsidR="004F68DA" w:rsidRPr="003F282D" w:rsidRDefault="004F68DA" w:rsidP="00F62A5F">
      <w:pPr>
        <w:spacing w:after="0" w:line="240" w:lineRule="auto"/>
        <w:rPr>
          <w:rFonts w:cstheme="minorHAnsi"/>
        </w:rPr>
      </w:pPr>
      <w:r w:rsidRPr="003F282D">
        <w:rPr>
          <w:rFonts w:cstheme="minorHAnsi"/>
          <w:b/>
          <w:bCs/>
          <w:caps/>
          <w:u w:val="single"/>
        </w:rPr>
        <w:t>Bias Resources</w:t>
      </w:r>
      <w:r w:rsidRPr="003F282D">
        <w:rPr>
          <w:rFonts w:cstheme="minorHAnsi"/>
          <w:b/>
        </w:rPr>
        <w:br/>
      </w:r>
      <w:r w:rsidRPr="003F282D">
        <w:rPr>
          <w:rFonts w:cstheme="minorHAnsi"/>
        </w:rPr>
        <w:t>The University has a process through which students and staff who have experienced or witnessed bias, prejudice or discrimination against a student can report their experiences to the University’s Bias Report and Support System (BRSS) team.  For details see: </w:t>
      </w:r>
      <w:hyperlink r:id="rId54" w:history="1">
        <w:r w:rsidRPr="003F282D">
          <w:rPr>
            <w:rStyle w:val="Hyperlink"/>
            <w:rFonts w:cstheme="minorHAnsi"/>
          </w:rPr>
          <w:t>diversityinclusion.wustl.edu/</w:t>
        </w:r>
        <w:proofErr w:type="spellStart"/>
        <w:r w:rsidRPr="003F282D">
          <w:rPr>
            <w:rStyle w:val="Hyperlink"/>
            <w:rFonts w:cstheme="minorHAnsi"/>
          </w:rPr>
          <w:t>brss</w:t>
        </w:r>
        <w:proofErr w:type="spellEnd"/>
        <w:r w:rsidRPr="003F282D">
          <w:rPr>
            <w:rStyle w:val="Hyperlink"/>
            <w:rFonts w:cstheme="minorHAnsi"/>
          </w:rPr>
          <w:t>/</w:t>
        </w:r>
      </w:hyperlink>
      <w:r w:rsidRPr="003F282D">
        <w:rPr>
          <w:rFonts w:cstheme="minorHAnsi"/>
        </w:rPr>
        <w:t>.</w:t>
      </w:r>
    </w:p>
    <w:p w14:paraId="521BEB56" w14:textId="77777777" w:rsidR="004F68DA" w:rsidRPr="003F282D" w:rsidRDefault="004F68DA" w:rsidP="00464C6B">
      <w:pPr>
        <w:spacing w:after="0" w:line="240" w:lineRule="auto"/>
        <w:ind w:left="360"/>
        <w:rPr>
          <w:rFonts w:cstheme="minorHAnsi"/>
        </w:rPr>
      </w:pPr>
    </w:p>
    <w:p w14:paraId="1420199D" w14:textId="77777777" w:rsidR="004F68DA" w:rsidRPr="003F282D" w:rsidRDefault="004F68DA" w:rsidP="00F62A5F">
      <w:pPr>
        <w:pStyle w:val="NormalWeb"/>
        <w:spacing w:before="0" w:beforeAutospacing="0" w:after="0" w:afterAutospacing="0"/>
        <w:ind w:left="0"/>
        <w:rPr>
          <w:rFonts w:asciiTheme="minorHAnsi" w:hAnsiTheme="minorHAnsi" w:cstheme="minorHAnsi"/>
          <w:sz w:val="22"/>
          <w:szCs w:val="22"/>
        </w:rPr>
      </w:pPr>
      <w:r w:rsidRPr="003F282D">
        <w:rPr>
          <w:rFonts w:asciiTheme="minorHAnsi" w:hAnsiTheme="minorHAnsi" w:cstheme="minorHAnsi"/>
          <w:b/>
          <w:bCs/>
          <w:sz w:val="22"/>
          <w:szCs w:val="22"/>
        </w:rPr>
        <w:t>Office of the Associate Vice Chancellor for Diversity, Equity and Inclusion (DEI)</w:t>
      </w:r>
    </w:p>
    <w:p w14:paraId="2E834792" w14:textId="51233659" w:rsidR="004F68DA" w:rsidRPr="003F282D" w:rsidRDefault="004F68DA" w:rsidP="00F62A5F">
      <w:pPr>
        <w:pStyle w:val="NormalWeb"/>
        <w:spacing w:before="0" w:beforeAutospacing="0" w:after="0" w:afterAutospacing="0"/>
        <w:ind w:left="0"/>
        <w:rPr>
          <w:rStyle w:val="Hyperlink"/>
          <w:rFonts w:asciiTheme="minorHAnsi" w:hAnsiTheme="minorHAnsi" w:cstheme="minorHAnsi"/>
          <w:color w:val="auto"/>
          <w:sz w:val="22"/>
          <w:szCs w:val="22"/>
        </w:rPr>
      </w:pPr>
      <w:r w:rsidRPr="003F282D">
        <w:rPr>
          <w:rFonts w:asciiTheme="minorHAnsi" w:hAnsiTheme="minorHAnsi" w:cstheme="minorHAnsi"/>
          <w:b/>
          <w:bCs/>
          <w:sz w:val="22"/>
          <w:szCs w:val="22"/>
        </w:rPr>
        <w:t>The DEI Training Team</w:t>
      </w:r>
      <w:r w:rsidRPr="003F282D">
        <w:rPr>
          <w:rStyle w:val="apple-converted-space"/>
          <w:rFonts w:asciiTheme="minorHAnsi" w:hAnsiTheme="minorHAnsi" w:cstheme="minorHAnsi"/>
          <w:b/>
          <w:bCs/>
          <w:sz w:val="22"/>
          <w:szCs w:val="22"/>
        </w:rPr>
        <w:t> </w:t>
      </w:r>
      <w:r w:rsidRPr="003F282D">
        <w:rPr>
          <w:rFonts w:asciiTheme="minorHAnsi" w:hAnsiTheme="minorHAnsi" w:cstheme="minorHAnsi"/>
          <w:sz w:val="22"/>
          <w:szCs w:val="22"/>
        </w:rPr>
        <w:t>designs, facilitates and leads diversity education programming for faculty, staff and students on a wide range of topics including: creating a climate of respect, the value of diversity and the role of biases in our day-to-day lives.</w:t>
      </w:r>
      <w:r w:rsidRPr="003F282D">
        <w:rPr>
          <w:rFonts w:asciiTheme="minorHAnsi" w:hAnsiTheme="minorHAnsi" w:cstheme="minorHAnsi"/>
          <w:sz w:val="22"/>
          <w:szCs w:val="22"/>
        </w:rPr>
        <w:br/>
      </w:r>
      <w:hyperlink r:id="rId55" w:tgtFrame="_blank" w:history="1">
        <w:r w:rsidRPr="003F282D">
          <w:rPr>
            <w:rStyle w:val="Hyperlink"/>
            <w:rFonts w:asciiTheme="minorHAnsi" w:hAnsiTheme="minorHAnsi" w:cstheme="minorHAnsi"/>
            <w:color w:val="auto"/>
            <w:sz w:val="22"/>
            <w:szCs w:val="22"/>
          </w:rPr>
          <w:t>diversity.med.wustl.edu/training/</w:t>
        </w:r>
      </w:hyperlink>
    </w:p>
    <w:p w14:paraId="7D5D73F8" w14:textId="77777777" w:rsidR="004F68DA" w:rsidRPr="003F282D" w:rsidRDefault="004F68DA" w:rsidP="00464C6B">
      <w:pPr>
        <w:pStyle w:val="NormalWeb"/>
        <w:spacing w:before="0" w:beforeAutospacing="0" w:after="0" w:afterAutospacing="0"/>
        <w:ind w:left="360"/>
        <w:rPr>
          <w:rFonts w:asciiTheme="minorHAnsi" w:hAnsiTheme="minorHAnsi" w:cstheme="minorHAnsi"/>
          <w:sz w:val="22"/>
          <w:szCs w:val="22"/>
        </w:rPr>
      </w:pPr>
    </w:p>
    <w:p w14:paraId="0536D953" w14:textId="0E930DD6" w:rsidR="004F68DA" w:rsidRPr="003F282D" w:rsidRDefault="004F68DA" w:rsidP="00F62A5F">
      <w:pPr>
        <w:pStyle w:val="NormalWeb"/>
        <w:spacing w:before="0" w:beforeAutospacing="0" w:after="0" w:afterAutospacing="0"/>
        <w:ind w:left="0"/>
        <w:rPr>
          <w:rStyle w:val="Hyperlink"/>
          <w:rFonts w:asciiTheme="minorHAnsi" w:hAnsiTheme="minorHAnsi" w:cstheme="minorHAnsi"/>
          <w:color w:val="auto"/>
          <w:sz w:val="22"/>
          <w:szCs w:val="22"/>
        </w:rPr>
      </w:pPr>
      <w:r w:rsidRPr="003F282D">
        <w:rPr>
          <w:rFonts w:asciiTheme="minorHAnsi" w:hAnsiTheme="minorHAnsi" w:cstheme="minorHAnsi"/>
          <w:b/>
          <w:bCs/>
          <w:sz w:val="22"/>
          <w:szCs w:val="22"/>
        </w:rPr>
        <w:t>The Office of Diversity Programs</w:t>
      </w:r>
      <w:r w:rsidRPr="003F282D">
        <w:rPr>
          <w:rStyle w:val="apple-converted-space"/>
          <w:rFonts w:asciiTheme="minorHAnsi" w:hAnsiTheme="minorHAnsi" w:cstheme="minorHAnsi"/>
          <w:sz w:val="22"/>
          <w:szCs w:val="22"/>
        </w:rPr>
        <w:t> </w:t>
      </w:r>
      <w:r w:rsidRPr="003F282D">
        <w:rPr>
          <w:rFonts w:asciiTheme="minorHAnsi" w:hAnsiTheme="minorHAnsi" w:cstheme="minorHAnsi"/>
          <w:sz w:val="22"/>
          <w:szCs w:val="22"/>
        </w:rPr>
        <w:t>promotes diversity among and prepares medical students to lead in a global society. A priority for the Office of Diversity Programs is to cultivate and foster a supportive campus climate for students of all backgrounds, cultures and identities.</w:t>
      </w:r>
      <w:r w:rsidRPr="003F282D">
        <w:rPr>
          <w:rFonts w:asciiTheme="minorHAnsi" w:hAnsiTheme="minorHAnsi" w:cstheme="minorHAnsi"/>
          <w:sz w:val="22"/>
          <w:szCs w:val="22"/>
        </w:rPr>
        <w:br/>
      </w:r>
      <w:hyperlink r:id="rId56" w:tgtFrame="_blank" w:history="1">
        <w:r w:rsidRPr="003F282D">
          <w:rPr>
            <w:rStyle w:val="Hyperlink"/>
            <w:rFonts w:asciiTheme="minorHAnsi" w:hAnsiTheme="minorHAnsi" w:cstheme="minorHAnsi"/>
            <w:color w:val="auto"/>
            <w:sz w:val="22"/>
            <w:szCs w:val="22"/>
          </w:rPr>
          <w:t>mddiversity.wustl.edu/</w:t>
        </w:r>
      </w:hyperlink>
    </w:p>
    <w:p w14:paraId="243BEBBE" w14:textId="77777777" w:rsidR="004F68DA" w:rsidRPr="003F282D" w:rsidRDefault="004F68DA" w:rsidP="00464C6B">
      <w:pPr>
        <w:pStyle w:val="NormalWeb"/>
        <w:spacing w:before="0" w:beforeAutospacing="0" w:after="0" w:afterAutospacing="0"/>
        <w:ind w:left="360"/>
        <w:rPr>
          <w:rFonts w:asciiTheme="minorHAnsi" w:hAnsiTheme="minorHAnsi" w:cstheme="minorHAnsi"/>
          <w:sz w:val="22"/>
          <w:szCs w:val="22"/>
        </w:rPr>
      </w:pPr>
    </w:p>
    <w:p w14:paraId="1D497B18" w14:textId="655CA8C6" w:rsidR="004F68DA" w:rsidRPr="003F282D" w:rsidRDefault="004F68DA" w:rsidP="00F62A5F">
      <w:pPr>
        <w:pStyle w:val="NormalWeb"/>
        <w:spacing w:before="0" w:beforeAutospacing="0" w:after="0" w:afterAutospacing="0"/>
        <w:ind w:left="0"/>
        <w:rPr>
          <w:rFonts w:asciiTheme="minorHAnsi" w:hAnsiTheme="minorHAnsi" w:cstheme="minorHAnsi"/>
          <w:sz w:val="22"/>
          <w:szCs w:val="22"/>
          <w:u w:val="single"/>
        </w:rPr>
      </w:pPr>
      <w:r w:rsidRPr="003F282D">
        <w:rPr>
          <w:rFonts w:asciiTheme="minorHAnsi" w:hAnsiTheme="minorHAnsi" w:cstheme="minorHAnsi"/>
          <w:b/>
          <w:bCs/>
          <w:sz w:val="22"/>
          <w:szCs w:val="22"/>
        </w:rPr>
        <w:t>The Diversity and Inclusion Student Council</w:t>
      </w:r>
      <w:r w:rsidRPr="003F282D">
        <w:rPr>
          <w:rStyle w:val="apple-converted-space"/>
          <w:rFonts w:asciiTheme="minorHAnsi" w:hAnsiTheme="minorHAnsi" w:cstheme="minorHAnsi"/>
          <w:b/>
          <w:bCs/>
          <w:sz w:val="22"/>
          <w:szCs w:val="22"/>
        </w:rPr>
        <w:t> </w:t>
      </w:r>
      <w:r w:rsidRPr="003F282D">
        <w:rPr>
          <w:rFonts w:asciiTheme="minorHAnsi" w:hAnsiTheme="minorHAnsi" w:cstheme="minorHAnsi"/>
          <w:sz w:val="22"/>
          <w:szCs w:val="22"/>
        </w:rPr>
        <w:t>promotes an inclusive campus environment for all School of Medicine students.</w:t>
      </w:r>
      <w:r w:rsidRPr="003F282D">
        <w:rPr>
          <w:rFonts w:asciiTheme="minorHAnsi" w:hAnsiTheme="minorHAnsi" w:cstheme="minorHAnsi"/>
          <w:sz w:val="22"/>
          <w:szCs w:val="22"/>
        </w:rPr>
        <w:br/>
      </w:r>
      <w:hyperlink r:id="rId57" w:tgtFrame="_blank" w:history="1">
        <w:r w:rsidRPr="003F282D">
          <w:rPr>
            <w:rStyle w:val="Hyperlink"/>
            <w:rFonts w:asciiTheme="minorHAnsi" w:hAnsiTheme="minorHAnsi" w:cstheme="minorHAnsi"/>
            <w:color w:val="auto"/>
            <w:sz w:val="22"/>
            <w:szCs w:val="22"/>
          </w:rPr>
          <w:t>sites.wustl.edu/disc/</w:t>
        </w:r>
      </w:hyperlink>
    </w:p>
    <w:p w14:paraId="6A46ECC7" w14:textId="77777777" w:rsidR="00336716" w:rsidRPr="003F282D" w:rsidRDefault="00336716" w:rsidP="00464C6B">
      <w:pPr>
        <w:pStyle w:val="NormalWeb"/>
        <w:spacing w:before="0" w:beforeAutospacing="0" w:after="0" w:afterAutospacing="0"/>
        <w:ind w:left="360"/>
        <w:rPr>
          <w:rFonts w:asciiTheme="minorHAnsi" w:hAnsiTheme="minorHAnsi" w:cstheme="minorHAnsi"/>
          <w:b/>
          <w:bCs/>
          <w:sz w:val="22"/>
          <w:szCs w:val="22"/>
        </w:rPr>
      </w:pPr>
    </w:p>
    <w:p w14:paraId="2703FBDF" w14:textId="77777777" w:rsidR="004F68DA" w:rsidRPr="003F282D" w:rsidRDefault="004F68DA" w:rsidP="00F62A5F">
      <w:pPr>
        <w:pStyle w:val="NormalWeb"/>
        <w:spacing w:before="0" w:beforeAutospacing="0" w:after="0" w:afterAutospacing="0"/>
        <w:ind w:left="0"/>
        <w:rPr>
          <w:rFonts w:asciiTheme="minorHAnsi" w:hAnsiTheme="minorHAnsi" w:cstheme="minorHAnsi"/>
          <w:sz w:val="22"/>
          <w:szCs w:val="22"/>
        </w:rPr>
      </w:pPr>
      <w:r w:rsidRPr="003F282D">
        <w:rPr>
          <w:rFonts w:asciiTheme="minorHAnsi" w:hAnsiTheme="minorHAnsi" w:cstheme="minorHAnsi"/>
          <w:b/>
          <w:bCs/>
          <w:sz w:val="22"/>
          <w:szCs w:val="22"/>
        </w:rPr>
        <w:lastRenderedPageBreak/>
        <w:t>The Office for International Students and Scholars</w:t>
      </w:r>
      <w:r w:rsidRPr="003F282D">
        <w:rPr>
          <w:rStyle w:val="apple-converted-space"/>
          <w:rFonts w:asciiTheme="minorHAnsi" w:hAnsiTheme="minorHAnsi" w:cstheme="minorHAnsi"/>
          <w:sz w:val="22"/>
          <w:szCs w:val="22"/>
        </w:rPr>
        <w:t> </w:t>
      </w:r>
      <w:r w:rsidRPr="003F282D">
        <w:rPr>
          <w:rFonts w:asciiTheme="minorHAnsi" w:hAnsiTheme="minorHAnsi" w:cstheme="minorHAnsi"/>
          <w:sz w:val="22"/>
          <w:szCs w:val="22"/>
        </w:rPr>
        <w:t>embraces the university’s mission of welcoming promising students from around the world.</w:t>
      </w:r>
      <w:r w:rsidRPr="003F282D">
        <w:rPr>
          <w:rFonts w:asciiTheme="minorHAnsi" w:hAnsiTheme="minorHAnsi" w:cstheme="minorHAnsi"/>
          <w:sz w:val="22"/>
          <w:szCs w:val="22"/>
        </w:rPr>
        <w:br/>
      </w:r>
      <w:hyperlink r:id="rId58" w:tgtFrame="_blank" w:history="1">
        <w:r w:rsidRPr="003F282D">
          <w:rPr>
            <w:rStyle w:val="Hyperlink"/>
            <w:rFonts w:asciiTheme="minorHAnsi" w:hAnsiTheme="minorHAnsi" w:cstheme="minorHAnsi"/>
            <w:color w:val="auto"/>
            <w:sz w:val="22"/>
            <w:szCs w:val="22"/>
          </w:rPr>
          <w:t>wumma.wustl.edu/</w:t>
        </w:r>
      </w:hyperlink>
    </w:p>
    <w:p w14:paraId="7A80A219" w14:textId="77777777" w:rsidR="004F68DA" w:rsidRPr="003F282D" w:rsidRDefault="004F68DA" w:rsidP="00464C6B">
      <w:pPr>
        <w:spacing w:after="0" w:line="240" w:lineRule="auto"/>
        <w:rPr>
          <w:rFonts w:cstheme="minorHAnsi"/>
        </w:rPr>
      </w:pPr>
    </w:p>
    <w:sectPr w:rsidR="004F68DA" w:rsidRPr="003F282D" w:rsidSect="00962A80">
      <w:headerReference w:type="default" r:id="rId5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1BB5C" w14:textId="77777777" w:rsidR="00DA438C" w:rsidRDefault="00DA438C" w:rsidP="00DA438C">
      <w:pPr>
        <w:spacing w:after="0" w:line="240" w:lineRule="auto"/>
      </w:pPr>
      <w:r>
        <w:separator/>
      </w:r>
    </w:p>
  </w:endnote>
  <w:endnote w:type="continuationSeparator" w:id="0">
    <w:p w14:paraId="15E78722" w14:textId="77777777" w:rsidR="00DA438C" w:rsidRDefault="00DA438C" w:rsidP="00DA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5E334" w14:textId="77777777" w:rsidR="00DA438C" w:rsidRDefault="00DA438C" w:rsidP="00DA438C">
      <w:pPr>
        <w:spacing w:after="0" w:line="240" w:lineRule="auto"/>
      </w:pPr>
      <w:r>
        <w:separator/>
      </w:r>
    </w:p>
  </w:footnote>
  <w:footnote w:type="continuationSeparator" w:id="0">
    <w:p w14:paraId="0B419221" w14:textId="77777777" w:rsidR="00DA438C" w:rsidRDefault="00DA438C" w:rsidP="00DA4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FAB0" w14:textId="65D8A767" w:rsidR="00DA438C" w:rsidRDefault="00DA438C">
    <w:pPr>
      <w:pStyle w:val="Header"/>
    </w:pPr>
  </w:p>
  <w:p w14:paraId="7430214D" w14:textId="7CA64B04" w:rsidR="00DA438C" w:rsidRPr="00DA438C" w:rsidRDefault="00DA438C">
    <w:pPr>
      <w:pStyle w:val="Header"/>
      <w:rPr>
        <w:b/>
      </w:rPr>
    </w:pPr>
  </w:p>
  <w:p w14:paraId="7782BB32" w14:textId="3EA466FB" w:rsidR="00DA438C" w:rsidRDefault="00DA4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02C"/>
    <w:multiLevelType w:val="hybridMultilevel"/>
    <w:tmpl w:val="EB0CEF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C14A7"/>
    <w:multiLevelType w:val="hybridMultilevel"/>
    <w:tmpl w:val="169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C57FD"/>
    <w:multiLevelType w:val="hybridMultilevel"/>
    <w:tmpl w:val="B04C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74491"/>
    <w:multiLevelType w:val="hybridMultilevel"/>
    <w:tmpl w:val="CE24C032"/>
    <w:lvl w:ilvl="0" w:tplc="8BAA5AA4">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7427A"/>
    <w:multiLevelType w:val="hybridMultilevel"/>
    <w:tmpl w:val="0176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F69B8"/>
    <w:multiLevelType w:val="hybridMultilevel"/>
    <w:tmpl w:val="2B608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FD0EF5"/>
    <w:multiLevelType w:val="hybridMultilevel"/>
    <w:tmpl w:val="E076C7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95242"/>
    <w:multiLevelType w:val="hybridMultilevel"/>
    <w:tmpl w:val="2D5ED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F66D5"/>
    <w:multiLevelType w:val="hybridMultilevel"/>
    <w:tmpl w:val="873E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157D7"/>
    <w:multiLevelType w:val="hybridMultilevel"/>
    <w:tmpl w:val="3AC2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3A0C23"/>
    <w:multiLevelType w:val="hybridMultilevel"/>
    <w:tmpl w:val="B0A89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4813BD"/>
    <w:multiLevelType w:val="hybridMultilevel"/>
    <w:tmpl w:val="CA92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F1E4E"/>
    <w:multiLevelType w:val="hybridMultilevel"/>
    <w:tmpl w:val="B508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85FC8"/>
    <w:multiLevelType w:val="hybridMultilevel"/>
    <w:tmpl w:val="23364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80144"/>
    <w:multiLevelType w:val="hybridMultilevel"/>
    <w:tmpl w:val="8260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C3829"/>
    <w:multiLevelType w:val="hybridMultilevel"/>
    <w:tmpl w:val="579C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07169"/>
    <w:multiLevelType w:val="hybridMultilevel"/>
    <w:tmpl w:val="1EF6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B455C"/>
    <w:multiLevelType w:val="hybridMultilevel"/>
    <w:tmpl w:val="2D5ED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36EA7"/>
    <w:multiLevelType w:val="hybridMultilevel"/>
    <w:tmpl w:val="4CC8E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C1B52"/>
    <w:multiLevelType w:val="hybridMultilevel"/>
    <w:tmpl w:val="C44640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D4B61"/>
    <w:multiLevelType w:val="hybridMultilevel"/>
    <w:tmpl w:val="10D8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54A50"/>
    <w:multiLevelType w:val="hybridMultilevel"/>
    <w:tmpl w:val="2C5E7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13A9E"/>
    <w:multiLevelType w:val="hybridMultilevel"/>
    <w:tmpl w:val="FAAC4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127D2C"/>
    <w:multiLevelType w:val="hybridMultilevel"/>
    <w:tmpl w:val="E4DA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F52F6"/>
    <w:multiLevelType w:val="hybridMultilevel"/>
    <w:tmpl w:val="F964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3224F8"/>
    <w:multiLevelType w:val="hybridMultilevel"/>
    <w:tmpl w:val="0326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4285F"/>
    <w:multiLevelType w:val="hybridMultilevel"/>
    <w:tmpl w:val="D82A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035F3"/>
    <w:multiLevelType w:val="hybridMultilevel"/>
    <w:tmpl w:val="B922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0"/>
  </w:num>
  <w:num w:numId="4">
    <w:abstractNumId w:val="19"/>
  </w:num>
  <w:num w:numId="5">
    <w:abstractNumId w:val="6"/>
  </w:num>
  <w:num w:numId="6">
    <w:abstractNumId w:val="11"/>
  </w:num>
  <w:num w:numId="7">
    <w:abstractNumId w:val="15"/>
  </w:num>
  <w:num w:numId="8">
    <w:abstractNumId w:val="14"/>
  </w:num>
  <w:num w:numId="9">
    <w:abstractNumId w:val="4"/>
  </w:num>
  <w:num w:numId="10">
    <w:abstractNumId w:val="23"/>
  </w:num>
  <w:num w:numId="11">
    <w:abstractNumId w:val="24"/>
  </w:num>
  <w:num w:numId="12">
    <w:abstractNumId w:val="26"/>
  </w:num>
  <w:num w:numId="13">
    <w:abstractNumId w:val="17"/>
  </w:num>
  <w:num w:numId="14">
    <w:abstractNumId w:val="18"/>
  </w:num>
  <w:num w:numId="15">
    <w:abstractNumId w:val="27"/>
  </w:num>
  <w:num w:numId="16">
    <w:abstractNumId w:val="12"/>
  </w:num>
  <w:num w:numId="17">
    <w:abstractNumId w:val="1"/>
  </w:num>
  <w:num w:numId="18">
    <w:abstractNumId w:val="7"/>
  </w:num>
  <w:num w:numId="19">
    <w:abstractNumId w:val="3"/>
  </w:num>
  <w:num w:numId="20">
    <w:abstractNumId w:val="13"/>
  </w:num>
  <w:num w:numId="21">
    <w:abstractNumId w:val="20"/>
  </w:num>
  <w:num w:numId="22">
    <w:abstractNumId w:val="9"/>
  </w:num>
  <w:num w:numId="23">
    <w:abstractNumId w:val="5"/>
  </w:num>
  <w:num w:numId="24">
    <w:abstractNumId w:val="5"/>
  </w:num>
  <w:num w:numId="25">
    <w:abstractNumId w:val="16"/>
  </w:num>
  <w:num w:numId="26">
    <w:abstractNumId w:val="2"/>
  </w:num>
  <w:num w:numId="27">
    <w:abstractNumId w:val="8"/>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F0"/>
    <w:rsid w:val="00005897"/>
    <w:rsid w:val="00026EAA"/>
    <w:rsid w:val="00026EB1"/>
    <w:rsid w:val="00056584"/>
    <w:rsid w:val="00086933"/>
    <w:rsid w:val="000C214B"/>
    <w:rsid w:val="000C39DC"/>
    <w:rsid w:val="000D63D1"/>
    <w:rsid w:val="000F0DB4"/>
    <w:rsid w:val="000F44F0"/>
    <w:rsid w:val="00111222"/>
    <w:rsid w:val="00114063"/>
    <w:rsid w:val="00127185"/>
    <w:rsid w:val="001378DF"/>
    <w:rsid w:val="001574CA"/>
    <w:rsid w:val="00172082"/>
    <w:rsid w:val="00192EF7"/>
    <w:rsid w:val="001A650B"/>
    <w:rsid w:val="001B534C"/>
    <w:rsid w:val="001C5B6E"/>
    <w:rsid w:val="001D02EF"/>
    <w:rsid w:val="001D18B9"/>
    <w:rsid w:val="001D56DB"/>
    <w:rsid w:val="001D5A5C"/>
    <w:rsid w:val="001E2211"/>
    <w:rsid w:val="002127F0"/>
    <w:rsid w:val="002144EE"/>
    <w:rsid w:val="00215947"/>
    <w:rsid w:val="002205D2"/>
    <w:rsid w:val="00225268"/>
    <w:rsid w:val="00231BD5"/>
    <w:rsid w:val="002335B8"/>
    <w:rsid w:val="00240ADC"/>
    <w:rsid w:val="002511AE"/>
    <w:rsid w:val="00257150"/>
    <w:rsid w:val="002658AB"/>
    <w:rsid w:val="0026671A"/>
    <w:rsid w:val="002741FE"/>
    <w:rsid w:val="002A3639"/>
    <w:rsid w:val="002B2A6B"/>
    <w:rsid w:val="002B6DF9"/>
    <w:rsid w:val="002C2348"/>
    <w:rsid w:val="002E6771"/>
    <w:rsid w:val="002F25FD"/>
    <w:rsid w:val="0030022B"/>
    <w:rsid w:val="0030167E"/>
    <w:rsid w:val="0030515E"/>
    <w:rsid w:val="00320E1A"/>
    <w:rsid w:val="00323713"/>
    <w:rsid w:val="00323EF1"/>
    <w:rsid w:val="00336716"/>
    <w:rsid w:val="00344C60"/>
    <w:rsid w:val="00350F8D"/>
    <w:rsid w:val="00375C64"/>
    <w:rsid w:val="00377B62"/>
    <w:rsid w:val="003A1894"/>
    <w:rsid w:val="003A56BD"/>
    <w:rsid w:val="003B00AB"/>
    <w:rsid w:val="003F282D"/>
    <w:rsid w:val="00400264"/>
    <w:rsid w:val="004122E7"/>
    <w:rsid w:val="00433309"/>
    <w:rsid w:val="0043650C"/>
    <w:rsid w:val="004460EF"/>
    <w:rsid w:val="0044769C"/>
    <w:rsid w:val="004514A9"/>
    <w:rsid w:val="00464C6B"/>
    <w:rsid w:val="00471AA8"/>
    <w:rsid w:val="004A622F"/>
    <w:rsid w:val="004A7895"/>
    <w:rsid w:val="004C0525"/>
    <w:rsid w:val="004D4D63"/>
    <w:rsid w:val="004D525B"/>
    <w:rsid w:val="004E4810"/>
    <w:rsid w:val="004F2F15"/>
    <w:rsid w:val="004F68DA"/>
    <w:rsid w:val="00536293"/>
    <w:rsid w:val="00541F1F"/>
    <w:rsid w:val="005440B2"/>
    <w:rsid w:val="00557CE3"/>
    <w:rsid w:val="005610B0"/>
    <w:rsid w:val="00562166"/>
    <w:rsid w:val="00573FA2"/>
    <w:rsid w:val="00576056"/>
    <w:rsid w:val="005818D5"/>
    <w:rsid w:val="005B1A7C"/>
    <w:rsid w:val="005B3C22"/>
    <w:rsid w:val="005B7788"/>
    <w:rsid w:val="005D54FE"/>
    <w:rsid w:val="005E083B"/>
    <w:rsid w:val="0061033B"/>
    <w:rsid w:val="00612157"/>
    <w:rsid w:val="00626FE2"/>
    <w:rsid w:val="00641248"/>
    <w:rsid w:val="00642F6F"/>
    <w:rsid w:val="006457D4"/>
    <w:rsid w:val="00647BD7"/>
    <w:rsid w:val="00664CC4"/>
    <w:rsid w:val="006678F9"/>
    <w:rsid w:val="00667D64"/>
    <w:rsid w:val="0067587D"/>
    <w:rsid w:val="00684708"/>
    <w:rsid w:val="0068710B"/>
    <w:rsid w:val="00691C37"/>
    <w:rsid w:val="0069704D"/>
    <w:rsid w:val="006B298D"/>
    <w:rsid w:val="006B4DD2"/>
    <w:rsid w:val="006D472C"/>
    <w:rsid w:val="006E3514"/>
    <w:rsid w:val="006E7E9D"/>
    <w:rsid w:val="00712FA0"/>
    <w:rsid w:val="0072407C"/>
    <w:rsid w:val="00727ED3"/>
    <w:rsid w:val="00733322"/>
    <w:rsid w:val="007401C5"/>
    <w:rsid w:val="00741A49"/>
    <w:rsid w:val="00743C95"/>
    <w:rsid w:val="00754CF9"/>
    <w:rsid w:val="00756D25"/>
    <w:rsid w:val="00760E1D"/>
    <w:rsid w:val="00761E5F"/>
    <w:rsid w:val="00773007"/>
    <w:rsid w:val="00785342"/>
    <w:rsid w:val="00797D0B"/>
    <w:rsid w:val="007C0091"/>
    <w:rsid w:val="007D654F"/>
    <w:rsid w:val="007E4D4D"/>
    <w:rsid w:val="007E587C"/>
    <w:rsid w:val="00800AD5"/>
    <w:rsid w:val="00801603"/>
    <w:rsid w:val="00814CB9"/>
    <w:rsid w:val="00816170"/>
    <w:rsid w:val="008176AB"/>
    <w:rsid w:val="00841809"/>
    <w:rsid w:val="00852E80"/>
    <w:rsid w:val="00861DC7"/>
    <w:rsid w:val="00893C1E"/>
    <w:rsid w:val="008A3893"/>
    <w:rsid w:val="008A79B2"/>
    <w:rsid w:val="008B4B48"/>
    <w:rsid w:val="008B6555"/>
    <w:rsid w:val="008D6368"/>
    <w:rsid w:val="008E4DAD"/>
    <w:rsid w:val="008F0413"/>
    <w:rsid w:val="0090125B"/>
    <w:rsid w:val="0091437F"/>
    <w:rsid w:val="00930403"/>
    <w:rsid w:val="00950660"/>
    <w:rsid w:val="00962A80"/>
    <w:rsid w:val="00970733"/>
    <w:rsid w:val="009902ED"/>
    <w:rsid w:val="009968E4"/>
    <w:rsid w:val="009E246C"/>
    <w:rsid w:val="00A24AF2"/>
    <w:rsid w:val="00A26F36"/>
    <w:rsid w:val="00A40920"/>
    <w:rsid w:val="00A60983"/>
    <w:rsid w:val="00A74A9F"/>
    <w:rsid w:val="00A8723E"/>
    <w:rsid w:val="00A873E4"/>
    <w:rsid w:val="00A920F7"/>
    <w:rsid w:val="00AB3D9A"/>
    <w:rsid w:val="00AB78E7"/>
    <w:rsid w:val="00AD204B"/>
    <w:rsid w:val="00AE0163"/>
    <w:rsid w:val="00AF2996"/>
    <w:rsid w:val="00B015C9"/>
    <w:rsid w:val="00B15EB8"/>
    <w:rsid w:val="00B2374B"/>
    <w:rsid w:val="00B57D48"/>
    <w:rsid w:val="00B6520B"/>
    <w:rsid w:val="00B84181"/>
    <w:rsid w:val="00B86F53"/>
    <w:rsid w:val="00B90CBB"/>
    <w:rsid w:val="00BB6A50"/>
    <w:rsid w:val="00BC6E1B"/>
    <w:rsid w:val="00BD1597"/>
    <w:rsid w:val="00BD2341"/>
    <w:rsid w:val="00BE2A1B"/>
    <w:rsid w:val="00C1246E"/>
    <w:rsid w:val="00C347B5"/>
    <w:rsid w:val="00C375CF"/>
    <w:rsid w:val="00C537DD"/>
    <w:rsid w:val="00C56E91"/>
    <w:rsid w:val="00C666DE"/>
    <w:rsid w:val="00C71119"/>
    <w:rsid w:val="00C766F1"/>
    <w:rsid w:val="00C86E88"/>
    <w:rsid w:val="00C87B29"/>
    <w:rsid w:val="00C9636D"/>
    <w:rsid w:val="00CB315F"/>
    <w:rsid w:val="00CB4C14"/>
    <w:rsid w:val="00CD164C"/>
    <w:rsid w:val="00CD27BE"/>
    <w:rsid w:val="00CF5359"/>
    <w:rsid w:val="00D0095D"/>
    <w:rsid w:val="00D32F9E"/>
    <w:rsid w:val="00D33116"/>
    <w:rsid w:val="00D33BBB"/>
    <w:rsid w:val="00D3724E"/>
    <w:rsid w:val="00D40F78"/>
    <w:rsid w:val="00D4190F"/>
    <w:rsid w:val="00D42BF5"/>
    <w:rsid w:val="00D539B4"/>
    <w:rsid w:val="00D739FF"/>
    <w:rsid w:val="00DA438C"/>
    <w:rsid w:val="00DD02B1"/>
    <w:rsid w:val="00DD78FD"/>
    <w:rsid w:val="00DE2FE2"/>
    <w:rsid w:val="00DF5C3E"/>
    <w:rsid w:val="00DF6175"/>
    <w:rsid w:val="00E32AD7"/>
    <w:rsid w:val="00E36BE4"/>
    <w:rsid w:val="00E42626"/>
    <w:rsid w:val="00E5480D"/>
    <w:rsid w:val="00E55E54"/>
    <w:rsid w:val="00E65206"/>
    <w:rsid w:val="00E65A7A"/>
    <w:rsid w:val="00E847E2"/>
    <w:rsid w:val="00E87BDF"/>
    <w:rsid w:val="00E95371"/>
    <w:rsid w:val="00EB46E9"/>
    <w:rsid w:val="00EB7775"/>
    <w:rsid w:val="00ED333B"/>
    <w:rsid w:val="00ED719A"/>
    <w:rsid w:val="00EE2DAC"/>
    <w:rsid w:val="00EE4662"/>
    <w:rsid w:val="00EF028B"/>
    <w:rsid w:val="00F11326"/>
    <w:rsid w:val="00F17760"/>
    <w:rsid w:val="00F2242B"/>
    <w:rsid w:val="00F27624"/>
    <w:rsid w:val="00F433AC"/>
    <w:rsid w:val="00F46C66"/>
    <w:rsid w:val="00F61CB5"/>
    <w:rsid w:val="00F62A5F"/>
    <w:rsid w:val="00F82AF0"/>
    <w:rsid w:val="00F86C3C"/>
    <w:rsid w:val="00F94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4F12C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F9"/>
  </w:style>
  <w:style w:type="paragraph" w:styleId="Heading2">
    <w:name w:val="heading 2"/>
    <w:basedOn w:val="Normal"/>
    <w:next w:val="Normal"/>
    <w:link w:val="Heading2Char"/>
    <w:uiPriority w:val="9"/>
    <w:qFormat/>
    <w:rsid w:val="004F68DA"/>
    <w:pPr>
      <w:autoSpaceDE w:val="0"/>
      <w:autoSpaceDN w:val="0"/>
      <w:adjustRightInd w:val="0"/>
      <w:spacing w:after="0" w:line="240" w:lineRule="auto"/>
      <w:ind w:left="720"/>
      <w:outlineLvl w:val="1"/>
    </w:pPr>
    <w:rPr>
      <w:rFonts w:ascii="Calibri" w:eastAsia="Calibri" w:hAnsi="Calibri"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AF0"/>
    <w:rPr>
      <w:rFonts w:ascii="Tahoma" w:hAnsi="Tahoma" w:cs="Tahoma"/>
      <w:sz w:val="16"/>
      <w:szCs w:val="16"/>
    </w:rPr>
  </w:style>
  <w:style w:type="paragraph" w:styleId="ListParagraph">
    <w:name w:val="List Paragraph"/>
    <w:basedOn w:val="Normal"/>
    <w:uiPriority w:val="34"/>
    <w:qFormat/>
    <w:rsid w:val="00F82AF0"/>
    <w:pPr>
      <w:ind w:left="720"/>
      <w:contextualSpacing/>
    </w:pPr>
  </w:style>
  <w:style w:type="character" w:customStyle="1" w:styleId="apple-style-span">
    <w:name w:val="apple-style-span"/>
    <w:basedOn w:val="DefaultParagraphFont"/>
    <w:rsid w:val="00F82AF0"/>
  </w:style>
  <w:style w:type="character" w:customStyle="1" w:styleId="apple-converted-space">
    <w:name w:val="apple-converted-space"/>
    <w:basedOn w:val="DefaultParagraphFont"/>
    <w:rsid w:val="00F82AF0"/>
  </w:style>
  <w:style w:type="paragraph" w:styleId="NoSpacing">
    <w:name w:val="No Spacing"/>
    <w:uiPriority w:val="1"/>
    <w:qFormat/>
    <w:rsid w:val="00F82AF0"/>
    <w:pPr>
      <w:spacing w:after="0" w:line="240" w:lineRule="auto"/>
    </w:pPr>
  </w:style>
  <w:style w:type="character" w:styleId="Hyperlink">
    <w:name w:val="Hyperlink"/>
    <w:basedOn w:val="DefaultParagraphFont"/>
    <w:uiPriority w:val="99"/>
    <w:unhideWhenUsed/>
    <w:rsid w:val="00F82AF0"/>
    <w:rPr>
      <w:color w:val="0000FF" w:themeColor="hyperlink"/>
      <w:u w:val="single"/>
    </w:rPr>
  </w:style>
  <w:style w:type="paragraph" w:customStyle="1" w:styleId="title1">
    <w:name w:val="title1"/>
    <w:basedOn w:val="Normal"/>
    <w:rsid w:val="00CD164C"/>
    <w:pPr>
      <w:spacing w:after="0" w:line="240" w:lineRule="auto"/>
    </w:pPr>
    <w:rPr>
      <w:rFonts w:ascii="Times New Roman" w:eastAsia="Times New Roman" w:hAnsi="Times New Roman" w:cs="Times New Roman"/>
      <w:sz w:val="29"/>
      <w:szCs w:val="29"/>
    </w:rPr>
  </w:style>
  <w:style w:type="character" w:styleId="FollowedHyperlink">
    <w:name w:val="FollowedHyperlink"/>
    <w:basedOn w:val="DefaultParagraphFont"/>
    <w:uiPriority w:val="99"/>
    <w:semiHidden/>
    <w:unhideWhenUsed/>
    <w:rsid w:val="00C347B5"/>
    <w:rPr>
      <w:color w:val="800080" w:themeColor="followedHyperlink"/>
      <w:u w:val="single"/>
    </w:rPr>
  </w:style>
  <w:style w:type="character" w:styleId="CommentReference">
    <w:name w:val="annotation reference"/>
    <w:basedOn w:val="DefaultParagraphFont"/>
    <w:uiPriority w:val="99"/>
    <w:semiHidden/>
    <w:unhideWhenUsed/>
    <w:rsid w:val="0030515E"/>
    <w:rPr>
      <w:sz w:val="16"/>
      <w:szCs w:val="16"/>
    </w:rPr>
  </w:style>
  <w:style w:type="paragraph" w:styleId="CommentText">
    <w:name w:val="annotation text"/>
    <w:basedOn w:val="Normal"/>
    <w:link w:val="CommentTextChar"/>
    <w:uiPriority w:val="99"/>
    <w:semiHidden/>
    <w:unhideWhenUsed/>
    <w:rsid w:val="0030515E"/>
    <w:pPr>
      <w:spacing w:line="240" w:lineRule="auto"/>
    </w:pPr>
    <w:rPr>
      <w:sz w:val="20"/>
      <w:szCs w:val="20"/>
    </w:rPr>
  </w:style>
  <w:style w:type="character" w:customStyle="1" w:styleId="CommentTextChar">
    <w:name w:val="Comment Text Char"/>
    <w:basedOn w:val="DefaultParagraphFont"/>
    <w:link w:val="CommentText"/>
    <w:uiPriority w:val="99"/>
    <w:semiHidden/>
    <w:rsid w:val="0030515E"/>
    <w:rPr>
      <w:sz w:val="20"/>
      <w:szCs w:val="20"/>
    </w:rPr>
  </w:style>
  <w:style w:type="paragraph" w:styleId="CommentSubject">
    <w:name w:val="annotation subject"/>
    <w:basedOn w:val="CommentText"/>
    <w:next w:val="CommentText"/>
    <w:link w:val="CommentSubjectChar"/>
    <w:uiPriority w:val="99"/>
    <w:semiHidden/>
    <w:unhideWhenUsed/>
    <w:rsid w:val="0030515E"/>
    <w:rPr>
      <w:b/>
      <w:bCs/>
    </w:rPr>
  </w:style>
  <w:style w:type="character" w:customStyle="1" w:styleId="CommentSubjectChar">
    <w:name w:val="Comment Subject Char"/>
    <w:basedOn w:val="CommentTextChar"/>
    <w:link w:val="CommentSubject"/>
    <w:uiPriority w:val="99"/>
    <w:semiHidden/>
    <w:rsid w:val="0030515E"/>
    <w:rPr>
      <w:b/>
      <w:bCs/>
      <w:sz w:val="20"/>
      <w:szCs w:val="20"/>
    </w:rPr>
  </w:style>
  <w:style w:type="paragraph" w:styleId="Header">
    <w:name w:val="header"/>
    <w:basedOn w:val="Normal"/>
    <w:link w:val="HeaderChar"/>
    <w:uiPriority w:val="99"/>
    <w:unhideWhenUsed/>
    <w:rsid w:val="00DA4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38C"/>
  </w:style>
  <w:style w:type="paragraph" w:styleId="Footer">
    <w:name w:val="footer"/>
    <w:basedOn w:val="Normal"/>
    <w:link w:val="FooterChar"/>
    <w:uiPriority w:val="99"/>
    <w:unhideWhenUsed/>
    <w:rsid w:val="00DA4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38C"/>
  </w:style>
  <w:style w:type="character" w:customStyle="1" w:styleId="Heading2Char">
    <w:name w:val="Heading 2 Char"/>
    <w:basedOn w:val="DefaultParagraphFont"/>
    <w:link w:val="Heading2"/>
    <w:uiPriority w:val="9"/>
    <w:rsid w:val="004F68DA"/>
    <w:rPr>
      <w:rFonts w:ascii="Calibri" w:eastAsia="Calibri" w:hAnsi="Calibri" w:cs="Tahoma"/>
      <w:b/>
      <w:bCs/>
    </w:rPr>
  </w:style>
  <w:style w:type="paragraph" w:styleId="NormalWeb">
    <w:name w:val="Normal (Web)"/>
    <w:basedOn w:val="Normal"/>
    <w:uiPriority w:val="99"/>
    <w:unhideWhenUsed/>
    <w:rsid w:val="004F68DA"/>
    <w:pPr>
      <w:spacing w:before="100" w:beforeAutospacing="1" w:after="100" w:afterAutospacing="1" w:line="240" w:lineRule="auto"/>
      <w:ind w:left="432"/>
    </w:pPr>
    <w:rPr>
      <w:rFonts w:ascii="Times New Roman" w:eastAsia="Times New Roman" w:hAnsi="Times New Roman" w:cs="Times New Roman"/>
      <w:sz w:val="24"/>
      <w:szCs w:val="24"/>
    </w:rPr>
  </w:style>
  <w:style w:type="paragraph" w:customStyle="1" w:styleId="Default">
    <w:name w:val="Default"/>
    <w:rsid w:val="004F68D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TMLCite">
    <w:name w:val="HTML Cite"/>
    <w:basedOn w:val="DefaultParagraphFont"/>
    <w:uiPriority w:val="99"/>
    <w:unhideWhenUsed/>
    <w:rsid w:val="006D472C"/>
    <w:rPr>
      <w:i/>
      <w:iCs/>
    </w:rPr>
  </w:style>
  <w:style w:type="paragraph" w:customStyle="1" w:styleId="EndNoteBibliography">
    <w:name w:val="EndNote Bibliography"/>
    <w:basedOn w:val="Normal"/>
    <w:link w:val="EndNoteBibliographyChar"/>
    <w:rsid w:val="00E55E54"/>
    <w:pPr>
      <w:spacing w:after="16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55E54"/>
    <w:rPr>
      <w:rFonts w:ascii="Calibri" w:hAnsi="Calibri" w:cs="Calibri"/>
      <w:noProof/>
    </w:rPr>
  </w:style>
  <w:style w:type="paragraph" w:styleId="BodyText">
    <w:name w:val="Body Text"/>
    <w:basedOn w:val="Normal"/>
    <w:link w:val="BodyTextChar"/>
    <w:rsid w:val="008D6368"/>
    <w:pPr>
      <w:spacing w:after="0" w:line="240" w:lineRule="auto"/>
    </w:pPr>
    <w:rPr>
      <w:rFonts w:ascii="Times New Roman" w:eastAsia="Times New Roman" w:hAnsi="Times New Roman" w:cs="Times New Roman"/>
      <w:i/>
      <w:iCs/>
      <w:szCs w:val="20"/>
    </w:rPr>
  </w:style>
  <w:style w:type="character" w:customStyle="1" w:styleId="BodyTextChar">
    <w:name w:val="Body Text Char"/>
    <w:basedOn w:val="DefaultParagraphFont"/>
    <w:link w:val="BodyText"/>
    <w:rsid w:val="008D6368"/>
    <w:rPr>
      <w:rFonts w:ascii="Times New Roman" w:eastAsia="Times New Roman" w:hAnsi="Times New Roman" w:cs="Times New Roman"/>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5402">
      <w:bodyDiv w:val="1"/>
      <w:marLeft w:val="0"/>
      <w:marRight w:val="0"/>
      <w:marTop w:val="0"/>
      <w:marBottom w:val="0"/>
      <w:divBdr>
        <w:top w:val="none" w:sz="0" w:space="0" w:color="auto"/>
        <w:left w:val="none" w:sz="0" w:space="0" w:color="auto"/>
        <w:bottom w:val="none" w:sz="0" w:space="0" w:color="auto"/>
        <w:right w:val="none" w:sz="0" w:space="0" w:color="auto"/>
      </w:divBdr>
    </w:div>
    <w:div w:id="441269976">
      <w:bodyDiv w:val="1"/>
      <w:marLeft w:val="0"/>
      <w:marRight w:val="0"/>
      <w:marTop w:val="0"/>
      <w:marBottom w:val="0"/>
      <w:divBdr>
        <w:top w:val="none" w:sz="0" w:space="0" w:color="auto"/>
        <w:left w:val="none" w:sz="0" w:space="0" w:color="auto"/>
        <w:bottom w:val="none" w:sz="0" w:space="0" w:color="auto"/>
        <w:right w:val="none" w:sz="0" w:space="0" w:color="auto"/>
      </w:divBdr>
    </w:div>
    <w:div w:id="799609921">
      <w:bodyDiv w:val="1"/>
      <w:marLeft w:val="0"/>
      <w:marRight w:val="0"/>
      <w:marTop w:val="0"/>
      <w:marBottom w:val="0"/>
      <w:divBdr>
        <w:top w:val="none" w:sz="0" w:space="0" w:color="auto"/>
        <w:left w:val="none" w:sz="0" w:space="0" w:color="auto"/>
        <w:bottom w:val="none" w:sz="0" w:space="0" w:color="auto"/>
        <w:right w:val="none" w:sz="0" w:space="0" w:color="auto"/>
      </w:divBdr>
    </w:div>
    <w:div w:id="1046294721">
      <w:bodyDiv w:val="1"/>
      <w:marLeft w:val="0"/>
      <w:marRight w:val="0"/>
      <w:marTop w:val="0"/>
      <w:marBottom w:val="0"/>
      <w:divBdr>
        <w:top w:val="none" w:sz="0" w:space="0" w:color="auto"/>
        <w:left w:val="none" w:sz="0" w:space="0" w:color="auto"/>
        <w:bottom w:val="none" w:sz="0" w:space="0" w:color="auto"/>
        <w:right w:val="none" w:sz="0" w:space="0" w:color="auto"/>
      </w:divBdr>
    </w:div>
    <w:div w:id="1061174988">
      <w:bodyDiv w:val="1"/>
      <w:marLeft w:val="0"/>
      <w:marRight w:val="0"/>
      <w:marTop w:val="0"/>
      <w:marBottom w:val="0"/>
      <w:divBdr>
        <w:top w:val="none" w:sz="0" w:space="0" w:color="auto"/>
        <w:left w:val="none" w:sz="0" w:space="0" w:color="auto"/>
        <w:bottom w:val="none" w:sz="0" w:space="0" w:color="auto"/>
        <w:right w:val="none" w:sz="0" w:space="0" w:color="auto"/>
      </w:divBdr>
    </w:div>
    <w:div w:id="1310817088">
      <w:bodyDiv w:val="1"/>
      <w:marLeft w:val="0"/>
      <w:marRight w:val="0"/>
      <w:marTop w:val="0"/>
      <w:marBottom w:val="0"/>
      <w:divBdr>
        <w:top w:val="none" w:sz="0" w:space="0" w:color="auto"/>
        <w:left w:val="none" w:sz="0" w:space="0" w:color="auto"/>
        <w:bottom w:val="none" w:sz="0" w:space="0" w:color="auto"/>
        <w:right w:val="none" w:sz="0" w:space="0" w:color="auto"/>
      </w:divBdr>
      <w:divsChild>
        <w:div w:id="906571391">
          <w:marLeft w:val="0"/>
          <w:marRight w:val="0"/>
          <w:marTop w:val="0"/>
          <w:marBottom w:val="0"/>
          <w:divBdr>
            <w:top w:val="none" w:sz="0" w:space="0" w:color="auto"/>
            <w:left w:val="none" w:sz="0" w:space="0" w:color="auto"/>
            <w:bottom w:val="none" w:sz="0" w:space="0" w:color="auto"/>
            <w:right w:val="none" w:sz="0" w:space="0" w:color="auto"/>
          </w:divBdr>
          <w:divsChild>
            <w:div w:id="58285531">
              <w:marLeft w:val="0"/>
              <w:marRight w:val="0"/>
              <w:marTop w:val="0"/>
              <w:marBottom w:val="0"/>
              <w:divBdr>
                <w:top w:val="none" w:sz="0" w:space="0" w:color="auto"/>
                <w:left w:val="none" w:sz="0" w:space="0" w:color="auto"/>
                <w:bottom w:val="none" w:sz="0" w:space="0" w:color="auto"/>
                <w:right w:val="none" w:sz="0" w:space="0" w:color="auto"/>
              </w:divBdr>
              <w:divsChild>
                <w:div w:id="1214463521">
                  <w:marLeft w:val="0"/>
                  <w:marRight w:val="-6084"/>
                  <w:marTop w:val="0"/>
                  <w:marBottom w:val="0"/>
                  <w:divBdr>
                    <w:top w:val="none" w:sz="0" w:space="0" w:color="auto"/>
                    <w:left w:val="none" w:sz="0" w:space="0" w:color="auto"/>
                    <w:bottom w:val="none" w:sz="0" w:space="0" w:color="auto"/>
                    <w:right w:val="none" w:sz="0" w:space="0" w:color="auto"/>
                  </w:divBdr>
                  <w:divsChild>
                    <w:div w:id="1614022505">
                      <w:marLeft w:val="0"/>
                      <w:marRight w:val="5844"/>
                      <w:marTop w:val="0"/>
                      <w:marBottom w:val="0"/>
                      <w:divBdr>
                        <w:top w:val="none" w:sz="0" w:space="0" w:color="auto"/>
                        <w:left w:val="none" w:sz="0" w:space="0" w:color="auto"/>
                        <w:bottom w:val="none" w:sz="0" w:space="0" w:color="auto"/>
                        <w:right w:val="none" w:sz="0" w:space="0" w:color="auto"/>
                      </w:divBdr>
                      <w:divsChild>
                        <w:div w:id="1687560480">
                          <w:marLeft w:val="0"/>
                          <w:marRight w:val="0"/>
                          <w:marTop w:val="0"/>
                          <w:marBottom w:val="0"/>
                          <w:divBdr>
                            <w:top w:val="none" w:sz="0" w:space="0" w:color="auto"/>
                            <w:left w:val="none" w:sz="0" w:space="0" w:color="auto"/>
                            <w:bottom w:val="none" w:sz="0" w:space="0" w:color="auto"/>
                            <w:right w:val="none" w:sz="0" w:space="0" w:color="auto"/>
                          </w:divBdr>
                          <w:divsChild>
                            <w:div w:id="1159349315">
                              <w:marLeft w:val="0"/>
                              <w:marRight w:val="0"/>
                              <w:marTop w:val="120"/>
                              <w:marBottom w:val="360"/>
                              <w:divBdr>
                                <w:top w:val="none" w:sz="0" w:space="0" w:color="auto"/>
                                <w:left w:val="none" w:sz="0" w:space="0" w:color="auto"/>
                                <w:bottom w:val="none" w:sz="0" w:space="0" w:color="auto"/>
                                <w:right w:val="none" w:sz="0" w:space="0" w:color="auto"/>
                              </w:divBdr>
                              <w:divsChild>
                                <w:div w:id="477579825">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andbook.cochrane.org/" TargetMode="External"/><Relationship Id="rId18" Type="http://schemas.openxmlformats.org/officeDocument/2006/relationships/hyperlink" Target="http://www.annualreviews.org/doi/abs/10.1146/annurev.pu.17.050196.000245" TargetMode="External"/><Relationship Id="rId26" Type="http://schemas.openxmlformats.org/officeDocument/2006/relationships/hyperlink" Target="http://www.bmj.com/content/309/6964/1286?view=long&amp;pmid=7718048" TargetMode="External"/><Relationship Id="rId39" Type="http://schemas.openxmlformats.org/officeDocument/2006/relationships/hyperlink" Target="http://www.annals.org/content/120/8/667.full.pdf+html" TargetMode="External"/><Relationship Id="rId21" Type="http://schemas.openxmlformats.org/officeDocument/2006/relationships/hyperlink" Target="http://www.annals.org/content/127/5/380.full.pdf+html" TargetMode="External"/><Relationship Id="rId34" Type="http://schemas.openxmlformats.org/officeDocument/2006/relationships/hyperlink" Target="http://www.sciencedirect.com/science/article/pii/S0140673696908065" TargetMode="External"/><Relationship Id="rId42" Type="http://schemas.openxmlformats.org/officeDocument/2006/relationships/hyperlink" Target="http://www.bmj.com/content/341/bmj.c4875?view=long&amp;pmid=20837576" TargetMode="External"/><Relationship Id="rId47" Type="http://schemas.openxmlformats.org/officeDocument/2006/relationships/hyperlink" Target="https://mphs.wustl.edu/students/student-handbook/" TargetMode="External"/><Relationship Id="rId50" Type="http://schemas.openxmlformats.org/officeDocument/2006/relationships/hyperlink" Target="https://mphs.wustl.edu/students/student-handbook/" TargetMode="External"/><Relationship Id="rId55" Type="http://schemas.openxmlformats.org/officeDocument/2006/relationships/hyperlink" Target="https://diversity.med.wustl.edu/train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edepi.net/meta/" TargetMode="External"/><Relationship Id="rId20" Type="http://schemas.openxmlformats.org/officeDocument/2006/relationships/hyperlink" Target="http://www.nejm.org/doi/full/10.1056/NEJM198211043071904" TargetMode="External"/><Relationship Id="rId29" Type="http://schemas.openxmlformats.org/officeDocument/2006/relationships/hyperlink" Target="http://www.bmj.com/content/327/7414/557?view=long&amp;pmid=12958120" TargetMode="External"/><Relationship Id="rId41" Type="http://schemas.openxmlformats.org/officeDocument/2006/relationships/hyperlink" Target="http://www.sciencedirect.com/science/article/pii/S0002914998009631" TargetMode="External"/><Relationship Id="rId54" Type="http://schemas.openxmlformats.org/officeDocument/2006/relationships/hyperlink" Target="https://diversityinclusion.wustl.edu/br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j.com/search?submit=yes&amp;tocsectionid=Research%20Methods" TargetMode="External"/><Relationship Id="rId24" Type="http://schemas.openxmlformats.org/officeDocument/2006/relationships/hyperlink" Target="http://ovidsp.tx.ovid.com/sp-3.4.2a/ovidweb.cgi?WebLinkFrameset=1&amp;S=LIGDFPNNNIDDMPKKNCALDGGCBIEHAA00&amp;returnUrl=ovidweb.cgi%3f%26Full%2bText%3dL%257cS.sh.15.16%257c0%257c00006250-201103000-00023%26S%3dLIGDFPNNNIDDMPKKNCALDGGCBIEHAA00&amp;directlink=http%3a%2f%252" TargetMode="External"/><Relationship Id="rId32" Type="http://schemas.openxmlformats.org/officeDocument/2006/relationships/hyperlink" Target="http://www.sciencedirect.com/science/article/pii/019724569400031W" TargetMode="External"/><Relationship Id="rId37" Type="http://schemas.openxmlformats.org/officeDocument/2006/relationships/hyperlink" Target="http://onlinelibrary.wiley.com/doi/10.1111/j.1553-2712.2011.01121.x/pdf" TargetMode="External"/><Relationship Id="rId40" Type="http://schemas.openxmlformats.org/officeDocument/2006/relationships/hyperlink" Target="http://www.sciencedirect.com/science/article/pii/S0009926007003340" TargetMode="External"/><Relationship Id="rId45" Type="http://schemas.openxmlformats.org/officeDocument/2006/relationships/hyperlink" Target="http://www.plosmedicine.org/article/info%3Adoi%2F10.1371%2Fjournal.pmed.1000326" TargetMode="External"/><Relationship Id="rId53" Type="http://schemas.openxmlformats.org/officeDocument/2006/relationships/hyperlink" Target="mailto:smithgladysa@wustl.edu" TargetMode="External"/><Relationship Id="rId58" Type="http://schemas.openxmlformats.org/officeDocument/2006/relationships/hyperlink" Target="https://mailingsresponse.wustl.edu/trk/click?ref=z1030up2e7_2-bdaex3ab89x0844&amp;" TargetMode="External"/><Relationship Id="rId5" Type="http://schemas.openxmlformats.org/officeDocument/2006/relationships/webSettings" Target="webSettings.xml"/><Relationship Id="rId15" Type="http://schemas.openxmlformats.org/officeDocument/2006/relationships/hyperlink" Target="http://www.nhmrc.gov.au/_files_nhmrc/file/publications/synopses/cp69.pdf" TargetMode="External"/><Relationship Id="rId23" Type="http://schemas.openxmlformats.org/officeDocument/2006/relationships/hyperlink" Target="http://www.ncbi.nlm.nih.gov/pubmed/7596718" TargetMode="External"/><Relationship Id="rId28" Type="http://schemas.openxmlformats.org/officeDocument/2006/relationships/hyperlink" Target="http://ovidsp.tx.ovid.com/sp-3.4.2a/ovidweb.cgi?WebLinkFrameset=1&amp;S=LIGDFPNNNIDDMPKKNCALDGGCBIEHAA00&amp;returnUrl=ovidweb.cgi%3f%26Full%2bText%3dL%257cS.sh.15.16%257c0%257c00006250-201103000-00023%26S%3dLIGDFPNNNIDDMPKKNCALDGGCBIEHAA00&amp;directlink=http%3a%2f%252" TargetMode="External"/><Relationship Id="rId36" Type="http://schemas.openxmlformats.org/officeDocument/2006/relationships/hyperlink" Target="http://jama.ama-assn.org/content/281/9/830.full.pdf+html" TargetMode="External"/><Relationship Id="rId49" Type="http://schemas.openxmlformats.org/officeDocument/2006/relationships/hyperlink" Target="https://studentconduct.wustl.edu/academic-integrity/" TargetMode="External"/><Relationship Id="rId57" Type="http://schemas.openxmlformats.org/officeDocument/2006/relationships/hyperlink" Target="https://mailingsresponse.wustl.edu/trk/click?ref=z1030up2e7_2-bdaex3ab88x0844&amp;" TargetMode="External"/><Relationship Id="rId61" Type="http://schemas.openxmlformats.org/officeDocument/2006/relationships/theme" Target="theme/theme1.xml"/><Relationship Id="rId10" Type="http://schemas.openxmlformats.org/officeDocument/2006/relationships/hyperlink" Target="mailto:carolyn.stoll@wustl.edu" TargetMode="External"/><Relationship Id="rId19" Type="http://schemas.openxmlformats.org/officeDocument/2006/relationships/hyperlink" Target="http://jama.ama-assn.org/content/281/9/830.full.pdf+html" TargetMode="External"/><Relationship Id="rId31" Type="http://schemas.openxmlformats.org/officeDocument/2006/relationships/hyperlink" Target="http://jama.ama-assn.org/content/274/24/1962" TargetMode="External"/><Relationship Id="rId44" Type="http://schemas.openxmlformats.org/officeDocument/2006/relationships/hyperlink" Target="http://www.bmj.com/content/341/bmj.c3852?view=long&amp;pmid=20709714" TargetMode="External"/><Relationship Id="rId52" Type="http://schemas.openxmlformats.org/officeDocument/2006/relationships/hyperlink" Target="http://shs.wustl.edu/MentalHealth"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nice.org.uk/" TargetMode="External"/><Relationship Id="rId22" Type="http://schemas.openxmlformats.org/officeDocument/2006/relationships/hyperlink" Target="http://jama.ama-assn.org/content/271/9/698.full.pdf+html" TargetMode="External"/><Relationship Id="rId27" Type="http://schemas.openxmlformats.org/officeDocument/2006/relationships/hyperlink" Target="http://onlinelibrary.wiley.com/doi/10.1002/(SICI)1097-0258(19990215)18:3%3C321::AID-SIM28%3E3.0.CO;2-P/abstract;jsessionid=1016848EF9F47E84DD5864C5D2FF5625.d02t01" TargetMode="External"/><Relationship Id="rId30" Type="http://schemas.openxmlformats.org/officeDocument/2006/relationships/hyperlink" Target="http://www.ncbi.nlm.nih.gov/pmc/articles/PMC2200657/?tool=pubmed" TargetMode="External"/><Relationship Id="rId35" Type="http://schemas.openxmlformats.org/officeDocument/2006/relationships/hyperlink" Target="http://www.sciencedirect.com/science/article/pii/S0140673604175144" TargetMode="External"/><Relationship Id="rId43" Type="http://schemas.openxmlformats.org/officeDocument/2006/relationships/hyperlink" Target="http://www.bmj.com/content/338/bmj.b750?view=long&amp;pmid=19299475" TargetMode="External"/><Relationship Id="rId48" Type="http://schemas.openxmlformats.org/officeDocument/2006/relationships/hyperlink" Target="https://mphs.wustl.edu/students/student-handbook/" TargetMode="External"/><Relationship Id="rId56" Type="http://schemas.openxmlformats.org/officeDocument/2006/relationships/hyperlink" Target="https://mddiversity.wustl.edu/" TargetMode="External"/><Relationship Id="rId8" Type="http://schemas.openxmlformats.org/officeDocument/2006/relationships/image" Target="media/image1.png"/><Relationship Id="rId51" Type="http://schemas.openxmlformats.org/officeDocument/2006/relationships/hyperlink" Target="http://bulletin.wustl.edu/medicine/policies/wusm-other/" TargetMode="External"/><Relationship Id="rId3" Type="http://schemas.openxmlformats.org/officeDocument/2006/relationships/styles" Target="styles.xml"/><Relationship Id="rId12" Type="http://schemas.openxmlformats.org/officeDocument/2006/relationships/hyperlink" Target="http://www.thecochranelibrary.com/view/0/index.html" TargetMode="External"/><Relationship Id="rId17" Type="http://schemas.openxmlformats.org/officeDocument/2006/relationships/hyperlink" Target="http://www.plosone.org/static/tpl_plos_meta.doc" TargetMode="External"/><Relationship Id="rId25" Type="http://schemas.openxmlformats.org/officeDocument/2006/relationships/hyperlink" Target="http://www.sciencedirect.com/science/article/pii/S0895435605001356" TargetMode="External"/><Relationship Id="rId33" Type="http://schemas.openxmlformats.org/officeDocument/2006/relationships/hyperlink" Target="http://www.sciencedirect.com/science/article/pii/S0140673610613505" TargetMode="External"/><Relationship Id="rId38" Type="http://schemas.openxmlformats.org/officeDocument/2006/relationships/hyperlink" Target="http://onlinelibrary.wiley.com/doi/10.1002/sim.942/abstract" TargetMode="External"/><Relationship Id="rId46" Type="http://schemas.openxmlformats.org/officeDocument/2006/relationships/hyperlink" Target="http://www.ncbi.nlm.nih.gov/pmc/articles/PMC2364804/?tool=pubmed"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F7ABA-0809-4A12-A0D8-13E8622C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4901</Words>
  <Characters>27938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ITC</Company>
  <LinksUpToDate>false</LinksUpToDate>
  <CharactersWithSpaces>32774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 Colditz</dc:creator>
  <cp:keywords/>
  <dc:description/>
  <cp:lastModifiedBy>Stoll, Carolyn</cp:lastModifiedBy>
  <cp:revision>2</cp:revision>
  <cp:lastPrinted>2018-07-20T15:20:00Z</cp:lastPrinted>
  <dcterms:created xsi:type="dcterms:W3CDTF">2019-11-08T14:54:00Z</dcterms:created>
  <dcterms:modified xsi:type="dcterms:W3CDTF">2019-11-08T14:54:00Z</dcterms:modified>
</cp:coreProperties>
</file>